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BEDA9">
      <w:pPr>
        <w:pStyle w:val="8"/>
        <w:keepNext w:val="0"/>
        <w:keepLines w:val="0"/>
        <w:pageBreakBefore w:val="0"/>
        <w:kinsoku/>
        <w:overflowPunct/>
        <w:topLinePunct w:val="0"/>
        <w:bidi w:val="0"/>
        <w:spacing w:line="312" w:lineRule="auto"/>
        <w:ind w:left="0" w:leftChars="0" w:firstLine="0" w:firstLineChars="0"/>
        <w:jc w:val="center"/>
        <w:textAlignment w:val="auto"/>
        <w:outlineLvl w:val="0"/>
        <w:rPr>
          <w:rFonts w:hint="eastAsia" w:ascii="宋体" w:hAnsi="宋体" w:eastAsia="宋体" w:cs="宋体"/>
          <w:sz w:val="30"/>
          <w:szCs w:val="32"/>
          <w:highlight w:val="none"/>
          <w:lang w:val="zh-CN" w:eastAsia="zh-CN"/>
        </w:rPr>
      </w:pPr>
      <w:r>
        <w:rPr>
          <w:rFonts w:hint="eastAsia" w:ascii="宋体" w:hAnsi="宋体" w:eastAsia="宋体" w:cs="宋体"/>
          <w:sz w:val="30"/>
          <w:szCs w:val="32"/>
          <w:highlight w:val="none"/>
          <w:lang w:val="zh-CN" w:eastAsia="zh-CN"/>
        </w:rPr>
        <w:t>2026年第一期衢州市住房公积金中心常山分中心资金竞争性存放招标项目招标公告</w:t>
      </w:r>
    </w:p>
    <w:p w14:paraId="41DF490F">
      <w:pPr>
        <w:pStyle w:val="14"/>
        <w:bidi w:val="0"/>
        <w:spacing w:before="68" w:beforeLines="18" w:beforeAutospacing="0"/>
        <w:rPr>
          <w:rFonts w:hint="eastAsia"/>
          <w:highlight w:val="none"/>
          <w:lang w:eastAsia="zh-CN"/>
        </w:rPr>
      </w:pPr>
      <w:r>
        <w:rPr>
          <w:rFonts w:hint="eastAsia"/>
          <w:highlight w:val="none"/>
          <w:lang w:eastAsia="zh-CN"/>
        </w:rPr>
        <w:t>根据常山县财政局关于印发《常山县行政事业单位公款竞争性存放管理办法》(常财预执〔2022〕3号</w:t>
      </w:r>
      <w:r>
        <w:rPr>
          <w:rFonts w:hint="eastAsia"/>
          <w:highlight w:val="none"/>
          <w:lang w:val="en-US" w:eastAsia="zh-CN"/>
        </w:rPr>
        <w:t>)</w:t>
      </w:r>
      <w:r>
        <w:rPr>
          <w:rFonts w:hint="eastAsia"/>
          <w:highlight w:val="none"/>
          <w:lang w:eastAsia="zh-CN"/>
        </w:rPr>
        <w:t>、《关于防止领导干部在公款存放方面发生利益冲突和利益输送的办法》(浙委办发〔2015〕8号)等有关规定，</w:t>
      </w:r>
      <w:bookmarkStart w:id="0" w:name="_Toc16145"/>
      <w:r>
        <w:rPr>
          <w:rFonts w:hint="eastAsia"/>
          <w:highlight w:val="none"/>
          <w:lang w:eastAsia="zh-CN"/>
        </w:rPr>
        <w:t>浙江九越建设管理有限公司受衢州市住房公积金中心常山分中心委托，就2026年第一期衢州市住房公积金中心常山分中心资金竞争性存放招标项目进行公开招标，欢迎符合条件的银行机构前来投标，现将有关事项公告如下：</w:t>
      </w:r>
    </w:p>
    <w:p w14:paraId="63353C71">
      <w:pPr>
        <w:numPr>
          <w:ilvl w:val="0"/>
          <w:numId w:val="2"/>
        </w:numPr>
        <w:snapToGrid w:val="0"/>
        <w:spacing w:line="360" w:lineRule="auto"/>
        <w:ind w:firstLine="422" w:firstLineChars="200"/>
        <w:outlineLvl w:val="9"/>
        <w:rPr>
          <w:rStyle w:val="12"/>
          <w:rFonts w:hint="eastAsia" w:ascii="宋体" w:hAnsi="宋体" w:eastAsia="宋体" w:cs="宋体"/>
          <w:b/>
          <w:color w:val="000000"/>
          <w:sz w:val="21"/>
          <w:szCs w:val="21"/>
          <w:highlight w:val="none"/>
        </w:rPr>
      </w:pPr>
      <w:r>
        <w:rPr>
          <w:rStyle w:val="12"/>
          <w:rFonts w:hint="eastAsia" w:ascii="宋体" w:hAnsi="宋体" w:eastAsia="宋体" w:cs="宋体"/>
          <w:b/>
          <w:color w:val="000000"/>
          <w:sz w:val="21"/>
          <w:szCs w:val="21"/>
          <w:highlight w:val="none"/>
        </w:rPr>
        <w:t>招标人名称：</w:t>
      </w:r>
      <w:bookmarkEnd w:id="0"/>
      <w:r>
        <w:rPr>
          <w:rStyle w:val="12"/>
          <w:rFonts w:hint="eastAsia" w:ascii="宋体" w:hAnsi="宋体" w:cs="宋体"/>
          <w:b w:val="0"/>
          <w:bCs/>
          <w:color w:val="000000"/>
          <w:sz w:val="21"/>
          <w:szCs w:val="21"/>
          <w:highlight w:val="none"/>
          <w:lang w:eastAsia="zh-CN"/>
        </w:rPr>
        <w:t>衢州市住房公积金中心常山分中心</w:t>
      </w:r>
    </w:p>
    <w:p w14:paraId="3C956B4D">
      <w:pPr>
        <w:numPr>
          <w:ilvl w:val="0"/>
          <w:numId w:val="2"/>
        </w:numPr>
        <w:snapToGrid w:val="0"/>
        <w:spacing w:line="360" w:lineRule="auto"/>
        <w:ind w:firstLine="422" w:firstLineChars="200"/>
        <w:outlineLvl w:val="9"/>
        <w:rPr>
          <w:rStyle w:val="12"/>
          <w:rFonts w:hint="eastAsia" w:ascii="宋体" w:hAnsi="宋体" w:eastAsia="宋体" w:cs="宋体"/>
          <w:b w:val="0"/>
          <w:bCs/>
          <w:color w:val="000000"/>
          <w:sz w:val="21"/>
          <w:szCs w:val="21"/>
          <w:highlight w:val="none"/>
        </w:rPr>
      </w:pPr>
      <w:r>
        <w:rPr>
          <w:rStyle w:val="12"/>
          <w:rFonts w:hint="eastAsia" w:ascii="宋体" w:hAnsi="宋体" w:eastAsia="宋体" w:cs="宋体"/>
          <w:b/>
          <w:color w:val="000000"/>
          <w:sz w:val="21"/>
          <w:szCs w:val="21"/>
          <w:highlight w:val="none"/>
        </w:rPr>
        <w:t>招标项目名称：</w:t>
      </w:r>
      <w:r>
        <w:rPr>
          <w:rStyle w:val="12"/>
          <w:rFonts w:hint="eastAsia" w:ascii="宋体" w:hAnsi="宋体" w:cs="宋体"/>
          <w:b w:val="0"/>
          <w:bCs/>
          <w:color w:val="000000"/>
          <w:sz w:val="21"/>
          <w:szCs w:val="21"/>
          <w:highlight w:val="none"/>
          <w:lang w:eastAsia="zh-CN"/>
        </w:rPr>
        <w:t>2026年第一期衢州市住房公积金中心常山分中心资金竞争性存放招标项目</w:t>
      </w:r>
    </w:p>
    <w:p w14:paraId="39E724E0">
      <w:pPr>
        <w:numPr>
          <w:ilvl w:val="0"/>
          <w:numId w:val="2"/>
        </w:numPr>
        <w:snapToGrid w:val="0"/>
        <w:spacing w:line="360" w:lineRule="auto"/>
        <w:ind w:firstLine="422" w:firstLineChars="200"/>
        <w:rPr>
          <w:rStyle w:val="12"/>
          <w:rFonts w:hint="eastAsia" w:ascii="宋体" w:hAnsi="宋体" w:eastAsia="宋体" w:cs="宋体"/>
          <w:b/>
          <w:color w:val="000000"/>
          <w:sz w:val="21"/>
          <w:szCs w:val="21"/>
          <w:highlight w:val="none"/>
        </w:rPr>
      </w:pPr>
      <w:r>
        <w:rPr>
          <w:rStyle w:val="12"/>
          <w:rFonts w:hint="eastAsia" w:ascii="宋体" w:hAnsi="宋体" w:eastAsia="宋体" w:cs="宋体"/>
          <w:b/>
          <w:color w:val="000000"/>
          <w:sz w:val="21"/>
          <w:szCs w:val="21"/>
          <w:highlight w:val="none"/>
        </w:rPr>
        <w:t>项目编号：</w:t>
      </w:r>
      <w:r>
        <w:rPr>
          <w:rStyle w:val="12"/>
          <w:rFonts w:hint="eastAsia" w:ascii="宋体" w:hAnsi="宋体" w:cs="宋体"/>
          <w:b w:val="0"/>
          <w:bCs/>
          <w:color w:val="000000"/>
          <w:sz w:val="21"/>
          <w:szCs w:val="21"/>
          <w:highlight w:val="none"/>
          <w:lang w:eastAsia="zh-CN"/>
        </w:rPr>
        <w:t xml:space="preserve">ZJJY-2026-GKCF001 </w:t>
      </w:r>
    </w:p>
    <w:p w14:paraId="75082059">
      <w:pPr>
        <w:numPr>
          <w:ilvl w:val="0"/>
          <w:numId w:val="2"/>
        </w:numPr>
        <w:snapToGrid w:val="0"/>
        <w:spacing w:line="360" w:lineRule="auto"/>
        <w:ind w:firstLine="422" w:firstLineChars="200"/>
        <w:rPr>
          <w:rStyle w:val="12"/>
          <w:rFonts w:hint="eastAsia" w:ascii="宋体" w:hAnsi="宋体" w:eastAsia="宋体" w:cs="宋体"/>
          <w:b/>
          <w:bCs/>
          <w:color w:val="000000"/>
          <w:kern w:val="0"/>
          <w:sz w:val="21"/>
          <w:szCs w:val="21"/>
          <w:highlight w:val="none"/>
        </w:rPr>
      </w:pPr>
      <w:r>
        <w:rPr>
          <w:rStyle w:val="12"/>
          <w:rFonts w:hint="eastAsia" w:ascii="宋体" w:hAnsi="宋体" w:eastAsia="宋体" w:cs="宋体"/>
          <w:b/>
          <w:color w:val="000000"/>
          <w:sz w:val="21"/>
          <w:szCs w:val="21"/>
          <w:highlight w:val="none"/>
        </w:rPr>
        <w:t>招标项目内容</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135"/>
        <w:gridCol w:w="1361"/>
        <w:gridCol w:w="717"/>
        <w:gridCol w:w="1261"/>
        <w:gridCol w:w="4582"/>
      </w:tblGrid>
      <w:tr w14:paraId="01179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2" w:type="pct"/>
            <w:noWrap w:val="0"/>
            <w:vAlign w:val="center"/>
          </w:tcPr>
          <w:p w14:paraId="7B3DC5C3">
            <w:pPr>
              <w:pStyle w:val="11"/>
              <w:bidi w:val="0"/>
              <w:spacing w:line="240" w:lineRule="auto"/>
              <w:rPr>
                <w:lang w:val="zh-CN"/>
              </w:rPr>
            </w:pPr>
            <w:r>
              <w:rPr>
                <w:rFonts w:hint="eastAsia"/>
                <w:lang w:val="zh-CN"/>
              </w:rPr>
              <w:t>标项</w:t>
            </w:r>
          </w:p>
        </w:tc>
        <w:tc>
          <w:tcPr>
            <w:tcW w:w="570" w:type="pct"/>
            <w:noWrap w:val="0"/>
            <w:vAlign w:val="center"/>
          </w:tcPr>
          <w:p w14:paraId="661C7422">
            <w:pPr>
              <w:pStyle w:val="11"/>
              <w:bidi w:val="0"/>
              <w:spacing w:line="240" w:lineRule="auto"/>
              <w:rPr>
                <w:rFonts w:hint="eastAsia"/>
                <w:lang w:val="zh-CN"/>
              </w:rPr>
            </w:pPr>
            <w:r>
              <w:rPr>
                <w:rFonts w:hint="eastAsia"/>
                <w:lang w:val="zh-CN"/>
              </w:rPr>
              <w:t>标项内容</w:t>
            </w:r>
          </w:p>
        </w:tc>
        <w:tc>
          <w:tcPr>
            <w:tcW w:w="683" w:type="pct"/>
            <w:noWrap w:val="0"/>
            <w:vAlign w:val="center"/>
          </w:tcPr>
          <w:p w14:paraId="561A35B6">
            <w:pPr>
              <w:pStyle w:val="11"/>
              <w:bidi w:val="0"/>
              <w:spacing w:line="240" w:lineRule="auto"/>
              <w:rPr>
                <w:rFonts w:hint="eastAsia"/>
                <w:lang w:val="zh-CN"/>
              </w:rPr>
            </w:pPr>
            <w:r>
              <w:rPr>
                <w:rFonts w:hint="eastAsia"/>
                <w:lang w:val="zh-CN"/>
              </w:rPr>
              <w:t>存放总金额</w:t>
            </w:r>
          </w:p>
          <w:p w14:paraId="247F4148">
            <w:pPr>
              <w:pStyle w:val="11"/>
              <w:bidi w:val="0"/>
              <w:spacing w:line="240" w:lineRule="auto"/>
              <w:rPr>
                <w:lang w:val="zh-CN"/>
              </w:rPr>
            </w:pPr>
            <w:r>
              <w:rPr>
                <w:rFonts w:hint="eastAsia"/>
                <w:lang w:val="zh-CN"/>
              </w:rPr>
              <w:t>（</w:t>
            </w:r>
            <w:r>
              <w:rPr>
                <w:rFonts w:hint="eastAsia"/>
                <w:lang w:val="en-US" w:eastAsia="zh-CN"/>
              </w:rPr>
              <w:t>万</w:t>
            </w:r>
            <w:r>
              <w:rPr>
                <w:rFonts w:hint="eastAsia"/>
                <w:lang w:val="zh-CN"/>
              </w:rPr>
              <w:t>元）</w:t>
            </w:r>
          </w:p>
        </w:tc>
        <w:tc>
          <w:tcPr>
            <w:tcW w:w="360" w:type="pct"/>
            <w:noWrap w:val="0"/>
            <w:vAlign w:val="center"/>
          </w:tcPr>
          <w:p w14:paraId="77389BCA">
            <w:pPr>
              <w:pStyle w:val="11"/>
              <w:bidi w:val="0"/>
              <w:spacing w:line="240" w:lineRule="auto"/>
              <w:rPr>
                <w:lang w:val="zh-CN"/>
              </w:rPr>
            </w:pPr>
            <w:r>
              <w:rPr>
                <w:rFonts w:hint="eastAsia"/>
                <w:lang w:val="zh-CN"/>
              </w:rPr>
              <w:t>数量</w:t>
            </w:r>
          </w:p>
        </w:tc>
        <w:tc>
          <w:tcPr>
            <w:tcW w:w="633" w:type="pct"/>
            <w:noWrap w:val="0"/>
            <w:vAlign w:val="center"/>
          </w:tcPr>
          <w:p w14:paraId="2A7E0B55">
            <w:pPr>
              <w:pStyle w:val="11"/>
              <w:bidi w:val="0"/>
              <w:spacing w:line="240" w:lineRule="auto"/>
              <w:rPr>
                <w:lang w:val="zh-CN"/>
              </w:rPr>
            </w:pPr>
            <w:r>
              <w:rPr>
                <w:rFonts w:hint="eastAsia"/>
                <w:lang w:val="zh-CN"/>
              </w:rPr>
              <w:t>服务期限</w:t>
            </w:r>
          </w:p>
        </w:tc>
        <w:tc>
          <w:tcPr>
            <w:tcW w:w="2300" w:type="pct"/>
            <w:noWrap w:val="0"/>
            <w:vAlign w:val="center"/>
          </w:tcPr>
          <w:p w14:paraId="3ECD7A0D">
            <w:pPr>
              <w:pStyle w:val="11"/>
              <w:bidi w:val="0"/>
              <w:spacing w:line="240" w:lineRule="auto"/>
              <w:rPr>
                <w:lang w:val="zh-CN"/>
              </w:rPr>
            </w:pPr>
            <w:r>
              <w:rPr>
                <w:rFonts w:hint="eastAsia"/>
                <w:lang w:val="zh-CN"/>
              </w:rPr>
              <w:t>资金分配及存放说明</w:t>
            </w:r>
          </w:p>
        </w:tc>
      </w:tr>
      <w:tr w14:paraId="2B46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452" w:type="pct"/>
            <w:noWrap w:val="0"/>
            <w:vAlign w:val="center"/>
          </w:tcPr>
          <w:p w14:paraId="56494B7A">
            <w:pPr>
              <w:pStyle w:val="11"/>
              <w:bidi w:val="0"/>
              <w:spacing w:line="240" w:lineRule="auto"/>
              <w:rPr>
                <w:rFonts w:hint="eastAsia"/>
                <w:lang w:val="en-US" w:eastAsia="zh-CN"/>
              </w:rPr>
            </w:pPr>
            <w:r>
              <w:rPr>
                <w:rFonts w:hint="eastAsia"/>
                <w:lang w:val="zh-CN"/>
              </w:rPr>
              <w:t>标项</w:t>
            </w:r>
            <w:r>
              <w:rPr>
                <w:rFonts w:hint="eastAsia"/>
                <w:lang w:val="en-US" w:eastAsia="zh-CN"/>
              </w:rPr>
              <w:t>一</w:t>
            </w:r>
          </w:p>
        </w:tc>
        <w:tc>
          <w:tcPr>
            <w:tcW w:w="570" w:type="pct"/>
            <w:noWrap w:val="0"/>
            <w:vAlign w:val="center"/>
          </w:tcPr>
          <w:p w14:paraId="2E046E66">
            <w:pPr>
              <w:pStyle w:val="11"/>
              <w:bidi w:val="0"/>
              <w:spacing w:line="240" w:lineRule="auto"/>
              <w:rPr>
                <w:rFonts w:hint="default"/>
                <w:lang w:val="en-US" w:eastAsia="zh-CN"/>
              </w:rPr>
            </w:pPr>
            <w:r>
              <w:rPr>
                <w:rFonts w:hint="eastAsia"/>
                <w:lang w:eastAsia="zh-CN"/>
              </w:rPr>
              <w:t>增值收益资金</w:t>
            </w:r>
          </w:p>
        </w:tc>
        <w:tc>
          <w:tcPr>
            <w:tcW w:w="683" w:type="pct"/>
            <w:noWrap w:val="0"/>
            <w:vAlign w:val="center"/>
          </w:tcPr>
          <w:p w14:paraId="3802C4D3">
            <w:pPr>
              <w:pStyle w:val="11"/>
              <w:bidi w:val="0"/>
              <w:spacing w:line="240" w:lineRule="auto"/>
              <w:rPr>
                <w:rFonts w:hint="default"/>
                <w:lang w:val="en-US"/>
              </w:rPr>
            </w:pPr>
            <w:r>
              <w:rPr>
                <w:rFonts w:hint="eastAsia"/>
                <w:lang w:val="en-US" w:eastAsia="zh-CN"/>
              </w:rPr>
              <w:t>7000</w:t>
            </w:r>
          </w:p>
        </w:tc>
        <w:tc>
          <w:tcPr>
            <w:tcW w:w="360" w:type="pct"/>
            <w:noWrap w:val="0"/>
            <w:vAlign w:val="center"/>
          </w:tcPr>
          <w:p w14:paraId="0FA125AB">
            <w:pPr>
              <w:pStyle w:val="11"/>
              <w:bidi w:val="0"/>
              <w:spacing w:line="240" w:lineRule="auto"/>
              <w:rPr>
                <w:rFonts w:hint="eastAsia"/>
              </w:rPr>
            </w:pPr>
            <w:r>
              <w:rPr>
                <w:rFonts w:hint="eastAsia"/>
                <w:lang w:val="en-US" w:eastAsia="zh-CN"/>
              </w:rPr>
              <w:t>4</w:t>
            </w:r>
            <w:r>
              <w:rPr>
                <w:rFonts w:hint="eastAsia"/>
              </w:rPr>
              <w:t>家</w:t>
            </w:r>
          </w:p>
        </w:tc>
        <w:tc>
          <w:tcPr>
            <w:tcW w:w="633" w:type="pct"/>
            <w:noWrap w:val="0"/>
            <w:vAlign w:val="center"/>
          </w:tcPr>
          <w:p w14:paraId="66CAED43">
            <w:pPr>
              <w:pStyle w:val="11"/>
              <w:bidi w:val="0"/>
              <w:spacing w:line="240" w:lineRule="auto"/>
              <w:rPr>
                <w:rFonts w:hint="eastAsia"/>
              </w:rPr>
            </w:pPr>
            <w:r>
              <w:rPr>
                <w:rFonts w:hint="eastAsia"/>
                <w:lang w:val="en-US" w:eastAsia="zh-CN"/>
              </w:rPr>
              <w:t>存放期限为12个月</w:t>
            </w:r>
          </w:p>
        </w:tc>
        <w:tc>
          <w:tcPr>
            <w:tcW w:w="2300" w:type="pct"/>
            <w:noWrap w:val="0"/>
            <w:vAlign w:val="center"/>
          </w:tcPr>
          <w:p w14:paraId="7C7EE3E4">
            <w:pPr>
              <w:pStyle w:val="11"/>
              <w:bidi w:val="0"/>
              <w:spacing w:line="240" w:lineRule="auto"/>
              <w:rPr>
                <w:rFonts w:hint="eastAsia"/>
              </w:rPr>
            </w:pPr>
            <w:r>
              <w:rPr>
                <w:rFonts w:hint="eastAsia"/>
              </w:rPr>
              <w:t>本次招标按照排名顺序共选择</w:t>
            </w:r>
            <w:r>
              <w:rPr>
                <w:rFonts w:hint="eastAsia"/>
                <w:lang w:val="en-US" w:eastAsia="zh-CN"/>
              </w:rPr>
              <w:t>4</w:t>
            </w:r>
            <w:r>
              <w:rPr>
                <w:rFonts w:hint="eastAsia"/>
              </w:rPr>
              <w:t>家银行进行资金存放：</w:t>
            </w:r>
            <w:r>
              <w:rPr>
                <w:rFonts w:hint="eastAsia"/>
                <w:lang w:val="zh-CN" w:eastAsia="zh-CN"/>
              </w:rPr>
              <w:t>第</w:t>
            </w:r>
            <w:r>
              <w:rPr>
                <w:rFonts w:hint="eastAsia"/>
                <w:lang w:val="en-US" w:eastAsia="zh-CN"/>
              </w:rPr>
              <w:t>1中标单位</w:t>
            </w:r>
            <w:r>
              <w:rPr>
                <w:rFonts w:hint="eastAsia"/>
                <w:lang w:val="zh-CN" w:eastAsia="zh-CN"/>
              </w:rPr>
              <w:t>：</w:t>
            </w:r>
            <w:r>
              <w:rPr>
                <w:rFonts w:hint="eastAsia"/>
                <w:lang w:val="en-US" w:eastAsia="zh-CN"/>
              </w:rPr>
              <w:t>2800</w:t>
            </w:r>
            <w:r>
              <w:rPr>
                <w:rFonts w:hint="eastAsia"/>
                <w:lang w:val="zh-CN" w:eastAsia="zh-CN"/>
              </w:rPr>
              <w:t>万元；第</w:t>
            </w:r>
            <w:r>
              <w:rPr>
                <w:rFonts w:hint="eastAsia"/>
                <w:lang w:val="en-US" w:eastAsia="zh-CN"/>
              </w:rPr>
              <w:t>2中标单位</w:t>
            </w:r>
            <w:r>
              <w:rPr>
                <w:rFonts w:hint="eastAsia"/>
                <w:lang w:val="zh-CN" w:eastAsia="zh-CN"/>
              </w:rPr>
              <w:t>：</w:t>
            </w:r>
            <w:r>
              <w:rPr>
                <w:rFonts w:hint="eastAsia"/>
                <w:lang w:val="en-US" w:eastAsia="zh-CN"/>
              </w:rPr>
              <w:t>2100</w:t>
            </w:r>
            <w:r>
              <w:rPr>
                <w:rFonts w:hint="eastAsia"/>
                <w:lang w:val="zh-CN" w:eastAsia="zh-CN"/>
              </w:rPr>
              <w:t>万元；第</w:t>
            </w:r>
            <w:r>
              <w:rPr>
                <w:rFonts w:hint="eastAsia"/>
                <w:lang w:val="en-US" w:eastAsia="zh-CN"/>
              </w:rPr>
              <w:t>3中标单位</w:t>
            </w:r>
            <w:r>
              <w:rPr>
                <w:rFonts w:hint="eastAsia"/>
                <w:lang w:val="zh-CN" w:eastAsia="zh-CN"/>
              </w:rPr>
              <w:t>：</w:t>
            </w:r>
            <w:r>
              <w:rPr>
                <w:rFonts w:hint="eastAsia"/>
                <w:lang w:val="en-US" w:eastAsia="zh-CN"/>
              </w:rPr>
              <w:t>1400</w:t>
            </w:r>
            <w:r>
              <w:rPr>
                <w:rFonts w:hint="eastAsia"/>
                <w:lang w:val="zh-CN" w:eastAsia="zh-CN"/>
              </w:rPr>
              <w:t>万</w:t>
            </w:r>
            <w:r>
              <w:rPr>
                <w:rFonts w:hint="eastAsia"/>
                <w:lang w:val="en-US" w:eastAsia="zh-CN"/>
              </w:rPr>
              <w:t>元</w:t>
            </w:r>
            <w:r>
              <w:rPr>
                <w:rFonts w:hint="eastAsia"/>
                <w:lang w:val="zh-CN" w:eastAsia="zh-CN"/>
              </w:rPr>
              <w:t>；第</w:t>
            </w:r>
            <w:r>
              <w:rPr>
                <w:rFonts w:hint="eastAsia"/>
                <w:lang w:val="en-US" w:eastAsia="zh-CN"/>
              </w:rPr>
              <w:t>4中标单位</w:t>
            </w:r>
            <w:r>
              <w:rPr>
                <w:rFonts w:hint="eastAsia"/>
                <w:lang w:val="zh-CN" w:eastAsia="zh-CN"/>
              </w:rPr>
              <w:t>：</w:t>
            </w:r>
            <w:r>
              <w:rPr>
                <w:rFonts w:hint="eastAsia"/>
                <w:lang w:val="en-US" w:eastAsia="zh-CN"/>
              </w:rPr>
              <w:t>700</w:t>
            </w:r>
            <w:r>
              <w:rPr>
                <w:rFonts w:hint="eastAsia"/>
                <w:lang w:val="zh-CN" w:eastAsia="zh-CN"/>
              </w:rPr>
              <w:t>万</w:t>
            </w:r>
            <w:r>
              <w:rPr>
                <w:rFonts w:hint="eastAsia"/>
                <w:lang w:val="en-US" w:eastAsia="zh-CN"/>
              </w:rPr>
              <w:t>元</w:t>
            </w:r>
            <w:r>
              <w:rPr>
                <w:rFonts w:hint="eastAsia"/>
                <w:lang w:val="zh-CN" w:eastAsia="zh-CN"/>
              </w:rPr>
              <w:t>。</w:t>
            </w:r>
          </w:p>
        </w:tc>
      </w:tr>
      <w:tr w14:paraId="55D4D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452" w:type="pct"/>
            <w:noWrap w:val="0"/>
            <w:vAlign w:val="center"/>
          </w:tcPr>
          <w:p w14:paraId="700171B7">
            <w:pPr>
              <w:pStyle w:val="11"/>
              <w:bidi w:val="0"/>
              <w:spacing w:line="240" w:lineRule="auto"/>
              <w:rPr>
                <w:rFonts w:hint="eastAsia"/>
                <w:lang w:eastAsia="zh-CN"/>
              </w:rPr>
            </w:pPr>
            <w:r>
              <w:rPr>
                <w:rFonts w:hint="eastAsia"/>
                <w:lang w:val="zh-CN"/>
              </w:rPr>
              <w:t>标项</w:t>
            </w:r>
            <w:r>
              <w:rPr>
                <w:rFonts w:hint="eastAsia"/>
                <w:lang w:val="en-US" w:eastAsia="zh-CN"/>
              </w:rPr>
              <w:t>二</w:t>
            </w:r>
          </w:p>
        </w:tc>
        <w:tc>
          <w:tcPr>
            <w:tcW w:w="570" w:type="pct"/>
            <w:noWrap w:val="0"/>
            <w:vAlign w:val="center"/>
          </w:tcPr>
          <w:p w14:paraId="7110201C">
            <w:pPr>
              <w:pStyle w:val="11"/>
              <w:bidi w:val="0"/>
              <w:spacing w:line="240" w:lineRule="auto"/>
              <w:rPr>
                <w:rFonts w:hint="eastAsia"/>
                <w:lang w:eastAsia="zh-CN"/>
              </w:rPr>
            </w:pPr>
            <w:r>
              <w:rPr>
                <w:rFonts w:hint="eastAsia"/>
                <w:lang w:eastAsia="zh-CN"/>
              </w:rPr>
              <w:t>专户资金</w:t>
            </w:r>
          </w:p>
        </w:tc>
        <w:tc>
          <w:tcPr>
            <w:tcW w:w="683" w:type="pct"/>
            <w:noWrap w:val="0"/>
            <w:vAlign w:val="center"/>
          </w:tcPr>
          <w:p w14:paraId="2BD2FF7C">
            <w:pPr>
              <w:pStyle w:val="11"/>
              <w:bidi w:val="0"/>
              <w:spacing w:line="240" w:lineRule="auto"/>
              <w:rPr>
                <w:rFonts w:hint="default"/>
                <w:lang w:val="en-US" w:eastAsia="zh-CN"/>
              </w:rPr>
            </w:pPr>
            <w:r>
              <w:rPr>
                <w:rFonts w:hint="eastAsia"/>
                <w:lang w:val="en-US" w:eastAsia="zh-CN"/>
              </w:rPr>
              <w:t>10000</w:t>
            </w:r>
          </w:p>
        </w:tc>
        <w:tc>
          <w:tcPr>
            <w:tcW w:w="360" w:type="pct"/>
            <w:noWrap w:val="0"/>
            <w:vAlign w:val="center"/>
          </w:tcPr>
          <w:p w14:paraId="1DB2DE37">
            <w:pPr>
              <w:pStyle w:val="11"/>
              <w:bidi w:val="0"/>
              <w:spacing w:line="240" w:lineRule="auto"/>
              <w:rPr>
                <w:rFonts w:hint="default"/>
                <w:lang w:val="en-US" w:eastAsia="zh-CN"/>
              </w:rPr>
            </w:pPr>
            <w:r>
              <w:rPr>
                <w:rFonts w:hint="eastAsia"/>
                <w:lang w:val="en-US" w:eastAsia="zh-CN"/>
              </w:rPr>
              <w:t>7</w:t>
            </w:r>
            <w:r>
              <w:rPr>
                <w:rFonts w:hint="eastAsia"/>
              </w:rPr>
              <w:t>家</w:t>
            </w:r>
          </w:p>
        </w:tc>
        <w:tc>
          <w:tcPr>
            <w:tcW w:w="633" w:type="pct"/>
            <w:noWrap w:val="0"/>
            <w:vAlign w:val="center"/>
          </w:tcPr>
          <w:p w14:paraId="694DBE68">
            <w:pPr>
              <w:pStyle w:val="11"/>
              <w:bidi w:val="0"/>
              <w:spacing w:line="240" w:lineRule="auto"/>
              <w:rPr>
                <w:rFonts w:hint="eastAsia"/>
                <w:lang w:eastAsia="zh-CN"/>
              </w:rPr>
            </w:pPr>
            <w:r>
              <w:rPr>
                <w:rFonts w:hint="eastAsia"/>
                <w:lang w:val="en-US" w:eastAsia="zh-CN"/>
              </w:rPr>
              <w:t>存放期限为12个月</w:t>
            </w:r>
          </w:p>
        </w:tc>
        <w:tc>
          <w:tcPr>
            <w:tcW w:w="2300" w:type="pct"/>
            <w:noWrap w:val="0"/>
            <w:vAlign w:val="center"/>
          </w:tcPr>
          <w:p w14:paraId="65A7EA4C">
            <w:pPr>
              <w:pStyle w:val="11"/>
              <w:bidi w:val="0"/>
              <w:spacing w:line="240" w:lineRule="auto"/>
              <w:rPr>
                <w:rFonts w:hint="eastAsia"/>
                <w:lang w:eastAsia="zh-CN"/>
              </w:rPr>
            </w:pPr>
            <w:r>
              <w:rPr>
                <w:rFonts w:hint="eastAsia"/>
              </w:rPr>
              <w:t>本次招标按照排名顺序共选择</w:t>
            </w:r>
            <w:r>
              <w:rPr>
                <w:rFonts w:hint="eastAsia"/>
                <w:lang w:val="en-US" w:eastAsia="zh-CN"/>
              </w:rPr>
              <w:t>7</w:t>
            </w:r>
            <w:r>
              <w:rPr>
                <w:rFonts w:hint="eastAsia"/>
              </w:rPr>
              <w:t>家银行进行资金存放：</w:t>
            </w:r>
            <w:r>
              <w:rPr>
                <w:rFonts w:hint="eastAsia"/>
                <w:lang w:val="zh-CN" w:eastAsia="zh-CN"/>
              </w:rPr>
              <w:t>第</w:t>
            </w:r>
            <w:r>
              <w:rPr>
                <w:rFonts w:hint="eastAsia"/>
                <w:lang w:val="en-US" w:eastAsia="zh-CN"/>
              </w:rPr>
              <w:t>1中标单位</w:t>
            </w:r>
            <w:r>
              <w:rPr>
                <w:rFonts w:hint="eastAsia"/>
                <w:lang w:val="zh-CN" w:eastAsia="zh-CN"/>
              </w:rPr>
              <w:t>：</w:t>
            </w:r>
            <w:r>
              <w:rPr>
                <w:rFonts w:hint="eastAsia"/>
                <w:lang w:val="en-US" w:eastAsia="zh-CN"/>
              </w:rPr>
              <w:t>2800</w:t>
            </w:r>
            <w:r>
              <w:rPr>
                <w:rFonts w:hint="eastAsia"/>
                <w:lang w:val="zh-CN" w:eastAsia="zh-CN"/>
              </w:rPr>
              <w:t>万元；第</w:t>
            </w:r>
            <w:r>
              <w:rPr>
                <w:rFonts w:hint="eastAsia"/>
                <w:lang w:val="en-US" w:eastAsia="zh-CN"/>
              </w:rPr>
              <w:t>2中标单位</w:t>
            </w:r>
            <w:r>
              <w:rPr>
                <w:rFonts w:hint="eastAsia"/>
                <w:lang w:val="zh-CN" w:eastAsia="zh-CN"/>
              </w:rPr>
              <w:t>：</w:t>
            </w:r>
            <w:r>
              <w:rPr>
                <w:rFonts w:hint="eastAsia"/>
                <w:lang w:val="en-US" w:eastAsia="zh-CN"/>
              </w:rPr>
              <w:t>2300</w:t>
            </w:r>
            <w:r>
              <w:rPr>
                <w:rFonts w:hint="eastAsia"/>
                <w:lang w:val="zh-CN" w:eastAsia="zh-CN"/>
              </w:rPr>
              <w:t>万元；第</w:t>
            </w:r>
            <w:r>
              <w:rPr>
                <w:rFonts w:hint="eastAsia"/>
                <w:lang w:val="en-US" w:eastAsia="zh-CN"/>
              </w:rPr>
              <w:t>3中标单位</w:t>
            </w:r>
            <w:r>
              <w:rPr>
                <w:rFonts w:hint="eastAsia"/>
                <w:lang w:val="zh-CN" w:eastAsia="zh-CN"/>
              </w:rPr>
              <w:t>：</w:t>
            </w:r>
            <w:r>
              <w:rPr>
                <w:rFonts w:hint="eastAsia"/>
                <w:lang w:val="en-US" w:eastAsia="zh-CN"/>
              </w:rPr>
              <w:t>1800</w:t>
            </w:r>
            <w:r>
              <w:rPr>
                <w:rFonts w:hint="eastAsia"/>
                <w:lang w:val="zh-CN" w:eastAsia="zh-CN"/>
              </w:rPr>
              <w:t>万</w:t>
            </w:r>
            <w:r>
              <w:rPr>
                <w:rFonts w:hint="eastAsia"/>
                <w:lang w:val="en-US" w:eastAsia="zh-CN"/>
              </w:rPr>
              <w:t>元</w:t>
            </w:r>
            <w:r>
              <w:rPr>
                <w:rFonts w:hint="eastAsia"/>
                <w:lang w:val="zh-CN" w:eastAsia="zh-CN"/>
              </w:rPr>
              <w:t>；第</w:t>
            </w:r>
            <w:r>
              <w:rPr>
                <w:rFonts w:hint="eastAsia"/>
                <w:lang w:val="en-US" w:eastAsia="zh-CN"/>
              </w:rPr>
              <w:t>4中标单位</w:t>
            </w:r>
            <w:r>
              <w:rPr>
                <w:rFonts w:hint="eastAsia"/>
                <w:lang w:val="zh-CN" w:eastAsia="zh-CN"/>
              </w:rPr>
              <w:t>：</w:t>
            </w:r>
            <w:r>
              <w:rPr>
                <w:rFonts w:hint="eastAsia"/>
                <w:lang w:val="en-US" w:eastAsia="zh-CN"/>
              </w:rPr>
              <w:t>1300</w:t>
            </w:r>
            <w:r>
              <w:rPr>
                <w:rFonts w:hint="eastAsia"/>
                <w:lang w:val="zh-CN" w:eastAsia="zh-CN"/>
              </w:rPr>
              <w:t>万</w:t>
            </w:r>
            <w:r>
              <w:rPr>
                <w:rFonts w:hint="eastAsia"/>
                <w:lang w:val="en-US" w:eastAsia="zh-CN"/>
              </w:rPr>
              <w:t>元</w:t>
            </w:r>
            <w:r>
              <w:rPr>
                <w:rFonts w:hint="eastAsia"/>
                <w:lang w:val="zh-CN" w:eastAsia="zh-CN"/>
              </w:rPr>
              <w:t>；第</w:t>
            </w:r>
            <w:r>
              <w:rPr>
                <w:rFonts w:hint="eastAsia"/>
                <w:lang w:val="en-US" w:eastAsia="zh-CN"/>
              </w:rPr>
              <w:t>5中标单位</w:t>
            </w:r>
            <w:r>
              <w:rPr>
                <w:rFonts w:hint="eastAsia"/>
                <w:lang w:val="zh-CN" w:eastAsia="zh-CN"/>
              </w:rPr>
              <w:t>：</w:t>
            </w:r>
            <w:r>
              <w:rPr>
                <w:rFonts w:hint="eastAsia"/>
                <w:lang w:val="en-US" w:eastAsia="zh-CN"/>
              </w:rPr>
              <w:t>700</w:t>
            </w:r>
            <w:r>
              <w:rPr>
                <w:rFonts w:hint="eastAsia"/>
                <w:lang w:val="zh-CN" w:eastAsia="zh-CN"/>
              </w:rPr>
              <w:t>万</w:t>
            </w:r>
            <w:r>
              <w:rPr>
                <w:rFonts w:hint="eastAsia"/>
                <w:lang w:val="en-US" w:eastAsia="zh-CN"/>
              </w:rPr>
              <w:t>元</w:t>
            </w:r>
            <w:r>
              <w:rPr>
                <w:rFonts w:hint="eastAsia"/>
                <w:lang w:val="zh-CN" w:eastAsia="zh-CN"/>
              </w:rPr>
              <w:t>；第</w:t>
            </w:r>
            <w:r>
              <w:rPr>
                <w:rFonts w:hint="eastAsia"/>
                <w:lang w:val="en-US" w:eastAsia="zh-CN"/>
              </w:rPr>
              <w:t>6中标单位</w:t>
            </w:r>
            <w:r>
              <w:rPr>
                <w:rFonts w:hint="eastAsia"/>
                <w:lang w:val="zh-CN" w:eastAsia="zh-CN"/>
              </w:rPr>
              <w:t>：</w:t>
            </w:r>
            <w:r>
              <w:rPr>
                <w:rFonts w:hint="eastAsia"/>
                <w:lang w:val="en-US" w:eastAsia="zh-CN"/>
              </w:rPr>
              <w:t>600</w:t>
            </w:r>
            <w:r>
              <w:rPr>
                <w:rFonts w:hint="eastAsia"/>
                <w:lang w:val="zh-CN" w:eastAsia="zh-CN"/>
              </w:rPr>
              <w:t>万</w:t>
            </w:r>
            <w:r>
              <w:rPr>
                <w:rFonts w:hint="eastAsia"/>
                <w:lang w:val="en-US" w:eastAsia="zh-CN"/>
              </w:rPr>
              <w:t>元</w:t>
            </w:r>
            <w:r>
              <w:rPr>
                <w:rFonts w:hint="eastAsia"/>
                <w:lang w:val="zh-CN" w:eastAsia="zh-CN"/>
              </w:rPr>
              <w:t>；第</w:t>
            </w:r>
            <w:r>
              <w:rPr>
                <w:rFonts w:hint="eastAsia"/>
                <w:lang w:val="en-US" w:eastAsia="zh-CN"/>
              </w:rPr>
              <w:t>7中标单位</w:t>
            </w:r>
            <w:r>
              <w:rPr>
                <w:rFonts w:hint="eastAsia"/>
                <w:lang w:val="zh-CN" w:eastAsia="zh-CN"/>
              </w:rPr>
              <w:t>：</w:t>
            </w:r>
            <w:r>
              <w:rPr>
                <w:rFonts w:hint="eastAsia"/>
                <w:lang w:val="en-US" w:eastAsia="zh-CN"/>
              </w:rPr>
              <w:t>500</w:t>
            </w:r>
            <w:r>
              <w:rPr>
                <w:rFonts w:hint="eastAsia"/>
                <w:lang w:val="zh-CN" w:eastAsia="zh-CN"/>
              </w:rPr>
              <w:t>万</w:t>
            </w:r>
            <w:r>
              <w:rPr>
                <w:rFonts w:hint="eastAsia"/>
                <w:lang w:val="en-US" w:eastAsia="zh-CN"/>
              </w:rPr>
              <w:t>元</w:t>
            </w:r>
            <w:r>
              <w:rPr>
                <w:rFonts w:hint="eastAsia"/>
                <w:lang w:val="zh-CN" w:eastAsia="zh-CN"/>
              </w:rPr>
              <w:t>。</w:t>
            </w:r>
          </w:p>
        </w:tc>
      </w:tr>
    </w:tbl>
    <w:p w14:paraId="44B0497F">
      <w:pPr>
        <w:numPr>
          <w:ilvl w:val="0"/>
          <w:numId w:val="2"/>
        </w:numPr>
        <w:snapToGrid w:val="0"/>
        <w:spacing w:line="480" w:lineRule="auto"/>
        <w:ind w:firstLine="422" w:firstLineChars="200"/>
        <w:rPr>
          <w:rStyle w:val="12"/>
          <w:rFonts w:hint="eastAsia" w:ascii="宋体" w:hAnsi="宋体" w:eastAsia="宋体" w:cs="宋体"/>
          <w:b/>
          <w:color w:val="000000"/>
          <w:sz w:val="21"/>
          <w:szCs w:val="21"/>
          <w:highlight w:val="none"/>
        </w:rPr>
      </w:pPr>
      <w:r>
        <w:rPr>
          <w:rStyle w:val="12"/>
          <w:rFonts w:hint="eastAsia" w:ascii="宋体" w:hAnsi="宋体" w:eastAsia="宋体" w:cs="宋体"/>
          <w:b/>
          <w:color w:val="000000"/>
          <w:sz w:val="21"/>
          <w:szCs w:val="21"/>
          <w:highlight w:val="none"/>
        </w:rPr>
        <w:t>投标人资格要求</w:t>
      </w:r>
    </w:p>
    <w:p w14:paraId="1C4B7093">
      <w:pPr>
        <w:bidi w:val="0"/>
        <w:rPr>
          <w:rFonts w:hint="eastAsia"/>
          <w:highlight w:val="none"/>
        </w:rPr>
      </w:pPr>
      <w:bookmarkStart w:id="1" w:name="_Toc20589"/>
      <w:r>
        <w:rPr>
          <w:rFonts w:hint="eastAsia"/>
          <w:highlight w:val="none"/>
          <w:lang w:eastAsia="zh-CN"/>
        </w:rPr>
        <w:t>投标人应符合《常山县行政事业单位公款竞争性存放管理办法》的规定，具备承担招标项目的能力，具体包括</w:t>
      </w:r>
      <w:r>
        <w:rPr>
          <w:rFonts w:hint="eastAsia"/>
          <w:highlight w:val="none"/>
        </w:rPr>
        <w:t>：</w:t>
      </w:r>
    </w:p>
    <w:p w14:paraId="0B999EC8">
      <w:pPr>
        <w:bidi w:val="0"/>
        <w:rPr>
          <w:rFonts w:hint="eastAsia"/>
          <w:highlight w:val="none"/>
          <w:lang w:eastAsia="zh-CN"/>
        </w:rPr>
      </w:pPr>
      <w:r>
        <w:rPr>
          <w:rFonts w:hint="eastAsia"/>
          <w:highlight w:val="none"/>
          <w:lang w:eastAsia="zh-CN"/>
        </w:rPr>
        <w:t>（一）</w:t>
      </w:r>
      <w:r>
        <w:rPr>
          <w:rFonts w:hint="eastAsia"/>
          <w:highlight w:val="none"/>
        </w:rPr>
        <w:t>在</w:t>
      </w:r>
      <w:r>
        <w:rPr>
          <w:rFonts w:hint="eastAsia"/>
          <w:highlight w:val="none"/>
          <w:lang w:eastAsia="zh-CN"/>
        </w:rPr>
        <w:t>常山县</w:t>
      </w:r>
      <w:r>
        <w:rPr>
          <w:rFonts w:hint="eastAsia"/>
          <w:highlight w:val="none"/>
        </w:rPr>
        <w:t>设立机构（或分支机构）的国有商业银行、股份制商业银行、邮政储蓄银行、城市商业银行、农村信用合作联社、农村商业银行、农村合作银行及政策性银行；每家银行有且只能有一个主体参与投标,且须为</w:t>
      </w:r>
      <w:r>
        <w:rPr>
          <w:rFonts w:hint="eastAsia"/>
          <w:highlight w:val="none"/>
          <w:lang w:eastAsia="zh-CN"/>
        </w:rPr>
        <w:t>常山县</w:t>
      </w:r>
      <w:r>
        <w:rPr>
          <w:rFonts w:hint="eastAsia"/>
          <w:highlight w:val="none"/>
        </w:rPr>
        <w:t>内级别最高机构（或分支机构）</w:t>
      </w:r>
      <w:r>
        <w:rPr>
          <w:rFonts w:hint="eastAsia"/>
          <w:highlight w:val="none"/>
          <w:lang w:eastAsia="zh-CN"/>
        </w:rPr>
        <w:t>；</w:t>
      </w:r>
    </w:p>
    <w:p w14:paraId="46863A79">
      <w:pPr>
        <w:bidi w:val="0"/>
        <w:rPr>
          <w:rFonts w:hint="eastAsia"/>
          <w:highlight w:val="none"/>
        </w:rPr>
      </w:pPr>
      <w:r>
        <w:rPr>
          <w:rFonts w:hint="eastAsia"/>
          <w:highlight w:val="none"/>
          <w:lang w:eastAsia="zh-CN"/>
        </w:rPr>
        <w:t>（二）</w:t>
      </w:r>
      <w:r>
        <w:rPr>
          <w:rFonts w:hint="eastAsia"/>
          <w:highlight w:val="none"/>
        </w:rPr>
        <w:t>依法开展经营活动，近3年内在经营活动中无重大违法违规记录及重大违约事件</w:t>
      </w:r>
      <w:r>
        <w:rPr>
          <w:rFonts w:hint="eastAsia"/>
          <w:highlight w:val="none"/>
          <w:lang w:eastAsia="zh-CN"/>
        </w:rPr>
        <w:t>；</w:t>
      </w:r>
    </w:p>
    <w:p w14:paraId="673B0ACE">
      <w:pPr>
        <w:bidi w:val="0"/>
        <w:rPr>
          <w:rFonts w:hint="eastAsia"/>
          <w:highlight w:val="none"/>
          <w:lang w:eastAsia="zh-CN"/>
        </w:rPr>
      </w:pPr>
      <w:r>
        <w:rPr>
          <w:rFonts w:hint="eastAsia"/>
          <w:highlight w:val="none"/>
        </w:rPr>
        <w:t>（</w:t>
      </w:r>
      <w:r>
        <w:rPr>
          <w:rFonts w:hint="eastAsia"/>
          <w:highlight w:val="none"/>
          <w:lang w:eastAsia="zh-CN"/>
        </w:rPr>
        <w:t>三</w:t>
      </w:r>
      <w:r>
        <w:rPr>
          <w:rFonts w:hint="eastAsia"/>
          <w:highlight w:val="none"/>
        </w:rPr>
        <w:t>）</w:t>
      </w:r>
      <w:r>
        <w:rPr>
          <w:rFonts w:hint="eastAsia"/>
          <w:highlight w:val="none"/>
          <w:lang w:eastAsia="zh-CN"/>
        </w:rPr>
        <w:t>纳入人民银行综合评价的银行，</w:t>
      </w:r>
      <w:r>
        <w:rPr>
          <w:rFonts w:hint="eastAsia"/>
          <w:highlight w:val="none"/>
        </w:rPr>
        <w:t>人民银行</w:t>
      </w:r>
      <w:r>
        <w:rPr>
          <w:rFonts w:hint="eastAsia"/>
          <w:highlight w:val="none"/>
          <w:lang w:val="en-US" w:eastAsia="zh-CN"/>
        </w:rPr>
        <w:t>上</w:t>
      </w:r>
      <w:r>
        <w:rPr>
          <w:rFonts w:hint="eastAsia"/>
          <w:highlight w:val="none"/>
        </w:rPr>
        <w:t>年度综合评价应达到B级</w:t>
      </w:r>
      <w:r>
        <w:rPr>
          <w:rFonts w:hint="eastAsia"/>
          <w:highlight w:val="none"/>
          <w:lang w:eastAsia="zh-CN"/>
        </w:rPr>
        <w:t>及</w:t>
      </w:r>
      <w:r>
        <w:rPr>
          <w:rFonts w:hint="eastAsia"/>
          <w:highlight w:val="none"/>
        </w:rPr>
        <w:t>以上</w:t>
      </w:r>
      <w:r>
        <w:rPr>
          <w:rFonts w:hint="eastAsia"/>
          <w:highlight w:val="none"/>
          <w:lang w:eastAsia="zh-CN"/>
        </w:rPr>
        <w:t>，不</w:t>
      </w:r>
      <w:r>
        <w:rPr>
          <w:rFonts w:hint="eastAsia"/>
          <w:highlight w:val="none"/>
        </w:rPr>
        <w:t>纳入人民银行</w:t>
      </w:r>
      <w:r>
        <w:rPr>
          <w:rFonts w:hint="eastAsia"/>
          <w:highlight w:val="none"/>
          <w:lang w:val="en-US" w:eastAsia="zh-CN"/>
        </w:rPr>
        <w:t>综合评价范围银行不受此限制</w:t>
      </w:r>
      <w:r>
        <w:rPr>
          <w:rFonts w:hint="eastAsia"/>
          <w:highlight w:val="none"/>
          <w:lang w:eastAsia="zh-CN"/>
        </w:rPr>
        <w:t>。</w:t>
      </w:r>
    </w:p>
    <w:p w14:paraId="520803B5">
      <w:pPr>
        <w:numPr>
          <w:ilvl w:val="0"/>
          <w:numId w:val="2"/>
        </w:numPr>
        <w:snapToGrid w:val="0"/>
        <w:spacing w:line="480" w:lineRule="auto"/>
        <w:ind w:firstLine="422" w:firstLineChars="200"/>
        <w:outlineLvl w:val="9"/>
        <w:rPr>
          <w:rStyle w:val="12"/>
          <w:rFonts w:hint="eastAsia" w:ascii="宋体" w:hAnsi="宋体" w:eastAsia="宋体" w:cs="宋体"/>
          <w:b/>
          <w:color w:val="000000"/>
          <w:sz w:val="21"/>
          <w:szCs w:val="21"/>
          <w:highlight w:val="none"/>
        </w:rPr>
      </w:pPr>
      <w:r>
        <w:rPr>
          <w:rStyle w:val="12"/>
          <w:rFonts w:hint="eastAsia" w:ascii="宋体" w:hAnsi="宋体" w:eastAsia="宋体" w:cs="宋体"/>
          <w:b/>
          <w:color w:val="000000"/>
          <w:sz w:val="21"/>
          <w:szCs w:val="21"/>
          <w:highlight w:val="none"/>
        </w:rPr>
        <w:t>投标报名</w:t>
      </w:r>
      <w:bookmarkEnd w:id="1"/>
    </w:p>
    <w:p w14:paraId="5B51D93D">
      <w:pPr>
        <w:tabs>
          <w:tab w:val="left" w:pos="180"/>
          <w:tab w:val="left" w:pos="360"/>
          <w:tab w:val="left" w:pos="540"/>
          <w:tab w:val="left" w:pos="8280"/>
        </w:tabs>
        <w:autoSpaceDE w:val="0"/>
        <w:autoSpaceDN w:val="0"/>
        <w:adjustRightInd w:val="0"/>
        <w:spacing w:line="360" w:lineRule="auto"/>
        <w:ind w:firstLine="420" w:firstLineChars="200"/>
        <w:jc w:val="left"/>
        <w:rPr>
          <w:rStyle w:val="12"/>
          <w:rFonts w:hint="eastAsia" w:ascii="宋体" w:hAnsi="宋体" w:eastAsia="宋体" w:cs="宋体"/>
          <w:color w:val="000000"/>
          <w:kern w:val="0"/>
          <w:sz w:val="21"/>
          <w:szCs w:val="21"/>
          <w:highlight w:val="none"/>
          <w:u w:val="single"/>
        </w:rPr>
      </w:pPr>
      <w:r>
        <w:rPr>
          <w:rStyle w:val="12"/>
          <w:rFonts w:hint="eastAsia" w:ascii="宋体" w:hAnsi="宋体" w:eastAsia="宋体" w:cs="宋体"/>
          <w:color w:val="000000"/>
          <w:kern w:val="0"/>
          <w:sz w:val="21"/>
          <w:szCs w:val="21"/>
          <w:highlight w:val="none"/>
        </w:rPr>
        <w:t>（一）报名时间：</w:t>
      </w:r>
      <w:r>
        <w:rPr>
          <w:rStyle w:val="12"/>
          <w:rFonts w:hint="eastAsia" w:ascii="宋体" w:hAnsi="宋体" w:cs="宋体"/>
          <w:kern w:val="0"/>
          <w:sz w:val="21"/>
          <w:szCs w:val="21"/>
          <w:highlight w:val="none"/>
          <w:u w:val="single"/>
          <w:lang w:eastAsia="zh-CN"/>
        </w:rPr>
        <w:t>202</w:t>
      </w:r>
      <w:r>
        <w:rPr>
          <w:rStyle w:val="12"/>
          <w:rFonts w:hint="eastAsia" w:ascii="宋体" w:hAnsi="宋体" w:cs="宋体"/>
          <w:kern w:val="0"/>
          <w:sz w:val="21"/>
          <w:szCs w:val="21"/>
          <w:highlight w:val="none"/>
          <w:u w:val="single"/>
          <w:lang w:val="en-US" w:eastAsia="zh-CN"/>
        </w:rPr>
        <w:t>6</w:t>
      </w:r>
      <w:r>
        <w:rPr>
          <w:rStyle w:val="12"/>
          <w:rFonts w:hint="eastAsia" w:ascii="宋体" w:hAnsi="宋体" w:cs="宋体"/>
          <w:kern w:val="0"/>
          <w:sz w:val="21"/>
          <w:szCs w:val="21"/>
          <w:highlight w:val="none"/>
          <w:u w:val="single"/>
          <w:lang w:eastAsia="zh-CN"/>
        </w:rPr>
        <w:t>年</w:t>
      </w:r>
      <w:r>
        <w:rPr>
          <w:rStyle w:val="12"/>
          <w:rFonts w:hint="eastAsia" w:ascii="宋体" w:hAnsi="宋体" w:cs="宋体"/>
          <w:kern w:val="0"/>
          <w:sz w:val="21"/>
          <w:szCs w:val="21"/>
          <w:highlight w:val="none"/>
          <w:u w:val="single"/>
          <w:lang w:val="en-US" w:eastAsia="zh-CN"/>
        </w:rPr>
        <w:t>05</w:t>
      </w:r>
      <w:r>
        <w:rPr>
          <w:rStyle w:val="12"/>
          <w:rFonts w:hint="eastAsia" w:ascii="宋体" w:hAnsi="宋体" w:cs="宋体"/>
          <w:kern w:val="0"/>
          <w:sz w:val="21"/>
          <w:szCs w:val="21"/>
          <w:highlight w:val="none"/>
          <w:u w:val="single"/>
          <w:lang w:eastAsia="zh-CN"/>
        </w:rPr>
        <w:t>月</w:t>
      </w:r>
      <w:r>
        <w:rPr>
          <w:rStyle w:val="12"/>
          <w:rFonts w:hint="eastAsia" w:ascii="宋体" w:hAnsi="宋体" w:cs="宋体"/>
          <w:kern w:val="0"/>
          <w:sz w:val="21"/>
          <w:szCs w:val="21"/>
          <w:highlight w:val="none"/>
          <w:u w:val="single"/>
          <w:lang w:val="en-US" w:eastAsia="zh-CN"/>
        </w:rPr>
        <w:t>21</w:t>
      </w:r>
      <w:r>
        <w:rPr>
          <w:rStyle w:val="12"/>
          <w:rFonts w:hint="eastAsia" w:ascii="宋体" w:hAnsi="宋体" w:cs="宋体"/>
          <w:kern w:val="0"/>
          <w:sz w:val="21"/>
          <w:szCs w:val="21"/>
          <w:highlight w:val="none"/>
          <w:u w:val="single"/>
          <w:lang w:eastAsia="zh-CN"/>
        </w:rPr>
        <w:t>日</w:t>
      </w:r>
      <w:r>
        <w:rPr>
          <w:rStyle w:val="12"/>
          <w:rFonts w:hint="eastAsia" w:ascii="宋体" w:hAnsi="宋体" w:eastAsia="宋体" w:cs="宋体"/>
          <w:kern w:val="0"/>
          <w:sz w:val="21"/>
          <w:szCs w:val="21"/>
          <w:highlight w:val="none"/>
          <w:u w:val="single"/>
        </w:rPr>
        <w:t>至</w:t>
      </w:r>
      <w:r>
        <w:rPr>
          <w:rStyle w:val="12"/>
          <w:rFonts w:hint="eastAsia" w:ascii="宋体" w:hAnsi="宋体" w:cs="宋体"/>
          <w:kern w:val="0"/>
          <w:sz w:val="21"/>
          <w:szCs w:val="21"/>
          <w:highlight w:val="none"/>
          <w:u w:val="single"/>
          <w:lang w:eastAsia="zh-CN"/>
        </w:rPr>
        <w:t>202</w:t>
      </w:r>
      <w:r>
        <w:rPr>
          <w:rStyle w:val="12"/>
          <w:rFonts w:hint="eastAsia" w:ascii="宋体" w:hAnsi="宋体" w:cs="宋体"/>
          <w:kern w:val="0"/>
          <w:sz w:val="21"/>
          <w:szCs w:val="21"/>
          <w:highlight w:val="none"/>
          <w:u w:val="single"/>
          <w:lang w:val="en-US" w:eastAsia="zh-CN"/>
        </w:rPr>
        <w:t>6</w:t>
      </w:r>
      <w:r>
        <w:rPr>
          <w:rStyle w:val="12"/>
          <w:rFonts w:hint="eastAsia" w:ascii="宋体" w:hAnsi="宋体" w:cs="宋体"/>
          <w:kern w:val="0"/>
          <w:sz w:val="21"/>
          <w:szCs w:val="21"/>
          <w:highlight w:val="none"/>
          <w:u w:val="single"/>
          <w:lang w:eastAsia="zh-CN"/>
        </w:rPr>
        <w:t>年</w:t>
      </w:r>
      <w:r>
        <w:rPr>
          <w:rStyle w:val="12"/>
          <w:rFonts w:hint="eastAsia" w:ascii="宋体" w:hAnsi="宋体" w:cs="宋体"/>
          <w:kern w:val="0"/>
          <w:sz w:val="21"/>
          <w:szCs w:val="21"/>
          <w:highlight w:val="none"/>
          <w:u w:val="single"/>
          <w:lang w:val="en-US" w:eastAsia="zh-CN"/>
        </w:rPr>
        <w:t>05</w:t>
      </w:r>
      <w:r>
        <w:rPr>
          <w:rStyle w:val="12"/>
          <w:rFonts w:hint="eastAsia" w:ascii="宋体" w:hAnsi="宋体" w:eastAsia="宋体" w:cs="宋体"/>
          <w:kern w:val="0"/>
          <w:sz w:val="21"/>
          <w:szCs w:val="21"/>
          <w:highlight w:val="none"/>
          <w:u w:val="single"/>
        </w:rPr>
        <w:t>月</w:t>
      </w:r>
      <w:r>
        <w:rPr>
          <w:rStyle w:val="12"/>
          <w:rFonts w:hint="eastAsia" w:ascii="宋体" w:hAnsi="宋体" w:cs="宋体"/>
          <w:kern w:val="0"/>
          <w:sz w:val="21"/>
          <w:szCs w:val="21"/>
          <w:highlight w:val="none"/>
          <w:u w:val="single"/>
          <w:lang w:val="en-US" w:eastAsia="zh-CN"/>
        </w:rPr>
        <w:t>28</w:t>
      </w:r>
      <w:r>
        <w:rPr>
          <w:rStyle w:val="12"/>
          <w:rFonts w:hint="eastAsia" w:ascii="宋体" w:hAnsi="宋体" w:eastAsia="宋体" w:cs="宋体"/>
          <w:kern w:val="0"/>
          <w:sz w:val="21"/>
          <w:szCs w:val="21"/>
          <w:highlight w:val="none"/>
          <w:u w:val="single"/>
        </w:rPr>
        <w:t>日（北京时间，法定节假日均可）。</w:t>
      </w:r>
    </w:p>
    <w:p w14:paraId="798FB803">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Style w:val="12"/>
          <w:rFonts w:hint="eastAsia" w:ascii="宋体" w:hAnsi="宋体" w:eastAsia="宋体" w:cs="宋体"/>
          <w:color w:val="000000"/>
          <w:kern w:val="0"/>
          <w:sz w:val="21"/>
          <w:szCs w:val="21"/>
          <w:highlight w:val="none"/>
        </w:rPr>
      </w:pPr>
      <w:r>
        <w:rPr>
          <w:rStyle w:val="12"/>
          <w:rFonts w:hint="eastAsia" w:ascii="宋体" w:hAnsi="宋体" w:eastAsia="宋体" w:cs="宋体"/>
          <w:color w:val="000000"/>
          <w:kern w:val="0"/>
          <w:sz w:val="21"/>
          <w:szCs w:val="21"/>
          <w:highlight w:val="none"/>
        </w:rPr>
        <w:t>（二）报名方式：</w:t>
      </w:r>
      <w:r>
        <w:rPr>
          <w:rStyle w:val="12"/>
          <w:rFonts w:hint="eastAsia" w:ascii="宋体" w:hAnsi="宋体" w:eastAsia="宋体" w:cs="宋体"/>
          <w:color w:val="000000"/>
          <w:kern w:val="0"/>
          <w:sz w:val="21"/>
          <w:szCs w:val="21"/>
          <w:highlight w:val="none"/>
          <w:lang w:eastAsia="zh-CN"/>
        </w:rPr>
        <w:t>本项目实行网上报名，不接受现场报名。投标人</w:t>
      </w:r>
      <w:r>
        <w:rPr>
          <w:rStyle w:val="12"/>
          <w:rFonts w:hint="eastAsia" w:ascii="宋体" w:hAnsi="宋体" w:eastAsia="宋体" w:cs="宋体"/>
          <w:color w:val="000000"/>
          <w:kern w:val="0"/>
          <w:sz w:val="21"/>
          <w:szCs w:val="21"/>
          <w:highlight w:val="none"/>
        </w:rPr>
        <w:t>登录“</w:t>
      </w:r>
      <w:r>
        <w:rPr>
          <w:rStyle w:val="12"/>
          <w:rFonts w:hint="eastAsia" w:ascii="宋体" w:hAnsi="宋体" w:cs="宋体"/>
          <w:color w:val="000000"/>
          <w:kern w:val="0"/>
          <w:sz w:val="21"/>
          <w:szCs w:val="21"/>
          <w:highlight w:val="none"/>
          <w:lang w:eastAsia="zh-CN"/>
        </w:rPr>
        <w:t>浙江省公款竞争性存放网上招标</w:t>
      </w:r>
      <w:r>
        <w:rPr>
          <w:rStyle w:val="12"/>
          <w:rFonts w:hint="eastAsia" w:ascii="宋体" w:hAnsi="宋体" w:eastAsia="宋体" w:cs="宋体"/>
          <w:color w:val="000000"/>
          <w:kern w:val="0"/>
          <w:sz w:val="21"/>
          <w:szCs w:val="21"/>
          <w:highlight w:val="none"/>
        </w:rPr>
        <w:t>”平台（https://gkcf-login.czt.zj.gov.cn/user-login/#/login）进入公款竞争性存放招标系统（以下简称“招标系统”），在竞标项目内按规定进行报名。第一步：选择本期招标项目，第二步：填写报名信息。报名成功后联系人会收到短信通知，逾期报名视为未报名。</w:t>
      </w:r>
    </w:p>
    <w:p w14:paraId="5E1854EE">
      <w:pPr>
        <w:pageBreakBefore w:val="0"/>
        <w:kinsoku/>
        <w:topLinePunct w:val="0"/>
        <w:autoSpaceDE w:val="0"/>
        <w:autoSpaceDN w:val="0"/>
        <w:bidi w:val="0"/>
        <w:adjustRightInd w:val="0"/>
        <w:snapToGrid/>
        <w:spacing w:line="360" w:lineRule="auto"/>
        <w:ind w:firstLine="422" w:firstLineChars="200"/>
        <w:rPr>
          <w:rFonts w:hint="eastAsia" w:ascii="宋体" w:hAnsi="宋体" w:cs="宋体"/>
          <w:b/>
          <w:bCs/>
          <w:szCs w:val="21"/>
          <w:highlight w:val="none"/>
        </w:rPr>
      </w:pPr>
      <w:bookmarkStart w:id="2" w:name="_Toc6482"/>
      <w:r>
        <w:rPr>
          <w:rFonts w:hint="eastAsia" w:ascii="宋体" w:hAnsi="宋体" w:eastAsia="宋体" w:cs="宋体"/>
          <w:b/>
          <w:bCs/>
          <w:szCs w:val="21"/>
          <w:highlight w:val="none"/>
          <w:lang w:eastAsia="zh-CN"/>
        </w:rPr>
        <w:t>▲</w:t>
      </w:r>
      <w:r>
        <w:rPr>
          <w:rFonts w:hint="eastAsia" w:ascii="宋体" w:hAnsi="宋体" w:cs="宋体"/>
          <w:b/>
          <w:bCs/>
          <w:szCs w:val="21"/>
          <w:highlight w:val="none"/>
        </w:rPr>
        <w:t>报名时需要提交的资料：</w:t>
      </w:r>
    </w:p>
    <w:p w14:paraId="6735B99A">
      <w:pPr>
        <w:bidi w:val="0"/>
        <w:rPr>
          <w:rFonts w:hint="eastAsia"/>
          <w:highlight w:val="none"/>
          <w:lang w:val="zh-CN"/>
        </w:rPr>
      </w:pPr>
      <w:r>
        <w:rPr>
          <w:rFonts w:hint="eastAsia"/>
          <w:highlight w:val="none"/>
          <w:lang w:val="zh-CN"/>
        </w:rPr>
        <w:t>（</w:t>
      </w:r>
      <w:r>
        <w:rPr>
          <w:rFonts w:hint="eastAsia"/>
          <w:highlight w:val="none"/>
        </w:rPr>
        <w:t>1</w:t>
      </w:r>
      <w:r>
        <w:rPr>
          <w:rFonts w:hint="eastAsia"/>
          <w:highlight w:val="none"/>
          <w:lang w:val="zh-CN"/>
        </w:rPr>
        <w:t>）有效的法人营业执照复印件；</w:t>
      </w:r>
    </w:p>
    <w:p w14:paraId="628603D3">
      <w:pPr>
        <w:bidi w:val="0"/>
        <w:rPr>
          <w:rFonts w:hint="eastAsia"/>
          <w:highlight w:val="none"/>
          <w:lang w:val="zh-CN"/>
        </w:rPr>
      </w:pPr>
      <w:r>
        <w:rPr>
          <w:rFonts w:hint="eastAsia"/>
          <w:highlight w:val="none"/>
          <w:lang w:val="zh-CN"/>
        </w:rPr>
        <w:t>（2）有效的金融许可证复印件；</w:t>
      </w:r>
    </w:p>
    <w:p w14:paraId="2CE926A3">
      <w:pPr>
        <w:bidi w:val="0"/>
        <w:rPr>
          <w:b/>
          <w:bCs/>
          <w:highlight w:val="none"/>
          <w:lang w:val="zh-CN"/>
        </w:rPr>
      </w:pPr>
      <w:r>
        <w:rPr>
          <w:rFonts w:hint="eastAsia"/>
          <w:highlight w:val="none"/>
          <w:lang w:val="zh-CN"/>
        </w:rPr>
        <w:t>（</w:t>
      </w:r>
      <w:r>
        <w:rPr>
          <w:rFonts w:hint="eastAsia"/>
          <w:highlight w:val="none"/>
          <w:lang w:val="en-US" w:eastAsia="zh-CN"/>
        </w:rPr>
        <w:t>3</w:t>
      </w:r>
      <w:r>
        <w:rPr>
          <w:rFonts w:hint="eastAsia"/>
          <w:highlight w:val="none"/>
          <w:lang w:val="zh-CN"/>
        </w:rPr>
        <w:t>）</w:t>
      </w:r>
      <w:r>
        <w:rPr>
          <w:rFonts w:hint="eastAsia"/>
          <w:highlight w:val="none"/>
        </w:rPr>
        <w:t>法定代表人（或分行行长）身份证明或附有法定代表人（或分行行长）身份证明</w:t>
      </w:r>
      <w:r>
        <w:rPr>
          <w:rFonts w:hint="eastAsia"/>
          <w:highlight w:val="none"/>
          <w:lang w:eastAsia="zh-CN"/>
        </w:rPr>
        <w:t>和</w:t>
      </w:r>
      <w:r>
        <w:rPr>
          <w:rFonts w:hint="eastAsia"/>
          <w:highlight w:val="none"/>
        </w:rPr>
        <w:t>授权代表的授权委托书（格式见第五部分格式二）</w:t>
      </w:r>
      <w:r>
        <w:rPr>
          <w:rFonts w:hint="eastAsia"/>
          <w:highlight w:val="none"/>
          <w:lang w:eastAsia="zh-CN"/>
        </w:rPr>
        <w:t>。</w:t>
      </w:r>
      <w:r>
        <w:rPr>
          <w:rFonts w:hint="eastAsia"/>
          <w:b/>
          <w:bCs/>
          <w:highlight w:val="none"/>
          <w:lang w:eastAsia="zh-CN"/>
        </w:rPr>
        <w:t>注：授权代表的证明文件为</w:t>
      </w:r>
      <w:r>
        <w:rPr>
          <w:rFonts w:hint="eastAsia"/>
          <w:b/>
          <w:bCs/>
          <w:highlight w:val="none"/>
        </w:rPr>
        <w:t>竞标银行为其缴纳的社保记录或劳务合同等</w:t>
      </w:r>
      <w:r>
        <w:rPr>
          <w:rFonts w:hint="eastAsia"/>
          <w:b/>
          <w:bCs/>
          <w:highlight w:val="none"/>
          <w:lang w:val="zh-CN"/>
        </w:rPr>
        <w:t>；</w:t>
      </w:r>
    </w:p>
    <w:p w14:paraId="0D308D79">
      <w:pPr>
        <w:bidi w:val="0"/>
        <w:rPr>
          <w:rFonts w:hint="eastAsia"/>
          <w:highlight w:val="none"/>
          <w:lang w:val="zh-CN"/>
        </w:rPr>
      </w:pPr>
      <w:r>
        <w:rPr>
          <w:rFonts w:hint="eastAsia"/>
          <w:highlight w:val="none"/>
          <w:lang w:val="zh-CN"/>
        </w:rPr>
        <w:t>（</w:t>
      </w:r>
      <w:r>
        <w:rPr>
          <w:rFonts w:hint="eastAsia"/>
          <w:highlight w:val="none"/>
          <w:lang w:val="en-US" w:eastAsia="zh-CN"/>
        </w:rPr>
        <w:t>4）</w:t>
      </w:r>
      <w:r>
        <w:rPr>
          <w:rFonts w:hint="eastAsia"/>
          <w:highlight w:val="none"/>
          <w:lang w:val="zh-CN"/>
        </w:rPr>
        <w:t>参加招标活动</w:t>
      </w:r>
      <w:r>
        <w:rPr>
          <w:rFonts w:hint="eastAsia"/>
          <w:highlight w:val="none"/>
          <w:lang w:val="en-US" w:eastAsia="zh-CN"/>
        </w:rPr>
        <w:t>近三</w:t>
      </w:r>
      <w:r>
        <w:rPr>
          <w:rFonts w:hint="eastAsia"/>
          <w:highlight w:val="none"/>
          <w:lang w:val="zh-CN"/>
        </w:rPr>
        <w:t>年内在经营活动中无重大违法违规记录及重大违约事件的声明书【</w:t>
      </w:r>
      <w:r>
        <w:rPr>
          <w:rFonts w:hint="eastAsia"/>
          <w:highlight w:val="none"/>
          <w:lang w:val="zh-CN" w:eastAsia="zh-CN"/>
        </w:rPr>
        <w:t>详见招标文件附件</w:t>
      </w:r>
      <w:r>
        <w:rPr>
          <w:rFonts w:hint="eastAsia"/>
          <w:highlight w:val="none"/>
          <w:lang w:val="zh-CN"/>
        </w:rPr>
        <w:t>】。</w:t>
      </w:r>
    </w:p>
    <w:p w14:paraId="34DDC86E">
      <w:pPr>
        <w:spacing w:line="360" w:lineRule="auto"/>
        <w:ind w:firstLine="422" w:firstLineChars="200"/>
        <w:rPr>
          <w:rFonts w:hint="eastAsia" w:ascii="宋体" w:hAnsi="宋体" w:cs="宋体"/>
          <w:b/>
          <w:szCs w:val="21"/>
          <w:highlight w:val="none"/>
          <w:u w:val="single"/>
          <w:lang w:val="zh-CN"/>
        </w:rPr>
      </w:pPr>
      <w:r>
        <w:rPr>
          <w:rFonts w:hint="eastAsia" w:ascii="宋体" w:hAnsi="宋体" w:cs="宋体"/>
          <w:b/>
          <w:szCs w:val="21"/>
          <w:highlight w:val="none"/>
          <w:u w:val="single"/>
          <w:lang w:val="zh-CN"/>
        </w:rPr>
        <w:t>▲注：以上（</w:t>
      </w:r>
      <w:r>
        <w:rPr>
          <w:rFonts w:hint="eastAsia" w:ascii="宋体" w:hAnsi="宋体" w:cs="宋体"/>
          <w:b/>
          <w:szCs w:val="21"/>
          <w:highlight w:val="none"/>
          <w:u w:val="single"/>
          <w:lang w:val="en-US" w:eastAsia="zh-CN"/>
        </w:rPr>
        <w:t>1</w:t>
      </w:r>
      <w:r>
        <w:rPr>
          <w:rFonts w:hint="eastAsia" w:ascii="宋体" w:hAnsi="宋体" w:cs="宋体"/>
          <w:b/>
          <w:szCs w:val="21"/>
          <w:highlight w:val="none"/>
          <w:u w:val="single"/>
          <w:lang w:val="zh-CN"/>
        </w:rPr>
        <w:t>）</w:t>
      </w:r>
      <w:r>
        <w:rPr>
          <w:rFonts w:hint="eastAsia" w:ascii="宋体" w:hAnsi="宋体" w:cs="宋体"/>
          <w:b/>
          <w:szCs w:val="21"/>
          <w:highlight w:val="none"/>
          <w:u w:val="single"/>
          <w:lang w:val="en-US" w:eastAsia="zh-CN"/>
        </w:rPr>
        <w:t>-</w:t>
      </w:r>
      <w:r>
        <w:rPr>
          <w:rFonts w:hint="eastAsia" w:ascii="宋体" w:hAnsi="宋体" w:cs="宋体"/>
          <w:b/>
          <w:szCs w:val="21"/>
          <w:highlight w:val="none"/>
          <w:u w:val="single"/>
          <w:lang w:val="zh-CN"/>
        </w:rPr>
        <w:t>（</w:t>
      </w:r>
      <w:r>
        <w:rPr>
          <w:rFonts w:hint="eastAsia" w:ascii="宋体" w:hAnsi="宋体" w:cs="宋体"/>
          <w:b/>
          <w:szCs w:val="21"/>
          <w:highlight w:val="none"/>
          <w:u w:val="single"/>
          <w:lang w:val="en-US" w:eastAsia="zh-CN"/>
        </w:rPr>
        <w:t>4</w:t>
      </w:r>
      <w:r>
        <w:rPr>
          <w:rFonts w:hint="eastAsia" w:ascii="宋体" w:hAnsi="宋体" w:cs="宋体"/>
          <w:b/>
          <w:szCs w:val="21"/>
          <w:highlight w:val="none"/>
          <w:u w:val="single"/>
          <w:lang w:val="zh-CN"/>
        </w:rPr>
        <w:t>）项内容构成完整的报名文件，要求提供复印件的，尽可能提供相关材料原件的扫描件。投标人未按上述要求完整提供全部有效证明材料导致报名审核不通过的，责任由投标人自行承担。</w:t>
      </w:r>
    </w:p>
    <w:p w14:paraId="7E312601">
      <w:pPr>
        <w:spacing w:line="360" w:lineRule="auto"/>
        <w:ind w:firstLine="420" w:firstLineChars="200"/>
        <w:rPr>
          <w:rFonts w:hint="eastAsia" w:ascii="宋体" w:hAnsi="宋体" w:eastAsia="宋体" w:cs="宋体"/>
          <w:szCs w:val="21"/>
          <w:highlight w:val="none"/>
          <w:u w:val="single"/>
          <w:lang w:eastAsia="zh-CN"/>
        </w:rPr>
      </w:pPr>
      <w:r>
        <w:rPr>
          <w:rFonts w:hint="eastAsia" w:ascii="宋体" w:hAnsi="宋体" w:cs="宋体"/>
          <w:szCs w:val="21"/>
          <w:highlight w:val="none"/>
          <w:lang w:val="en-US" w:eastAsia="zh-CN"/>
        </w:rPr>
        <w:t>（三）</w:t>
      </w:r>
      <w:r>
        <w:rPr>
          <w:rFonts w:hint="eastAsia" w:ascii="宋体" w:hAnsi="宋体" w:cs="宋体"/>
          <w:szCs w:val="21"/>
          <w:highlight w:val="none"/>
          <w:lang w:eastAsia="zh-CN"/>
        </w:rPr>
        <w:t>招标文件获取方式及地址：线上获取。“浙江省公款竞争性存放网上招标平台</w:t>
      </w:r>
      <w:r>
        <w:rPr>
          <w:rFonts w:hint="eastAsia" w:ascii="宋体" w:hAnsi="宋体" w:cs="宋体"/>
          <w:szCs w:val="21"/>
          <w:highlight w:val="none"/>
        </w:rPr>
        <w:t>http://login.zcygov.cn</w:t>
      </w:r>
      <w:r>
        <w:rPr>
          <w:rFonts w:hint="eastAsia" w:ascii="宋体" w:hAnsi="宋体" w:cs="宋体"/>
          <w:szCs w:val="21"/>
          <w:highlight w:val="none"/>
          <w:lang w:eastAsia="zh-CN"/>
        </w:rPr>
        <w:t>”获取。</w:t>
      </w:r>
    </w:p>
    <w:p w14:paraId="7F3007AC">
      <w:pPr>
        <w:snapToGrid w:val="0"/>
        <w:spacing w:line="480" w:lineRule="auto"/>
        <w:ind w:firstLine="422" w:firstLineChars="200"/>
        <w:outlineLvl w:val="9"/>
        <w:rPr>
          <w:rStyle w:val="12"/>
          <w:rFonts w:hint="eastAsia" w:ascii="宋体" w:hAnsi="宋体" w:eastAsia="宋体" w:cs="宋体"/>
          <w:b/>
          <w:color w:val="000000"/>
          <w:sz w:val="21"/>
          <w:szCs w:val="21"/>
          <w:highlight w:val="none"/>
        </w:rPr>
      </w:pPr>
      <w:r>
        <w:rPr>
          <w:rStyle w:val="12"/>
          <w:rFonts w:hint="eastAsia" w:ascii="宋体" w:hAnsi="宋体" w:eastAsia="宋体" w:cs="宋体"/>
          <w:b/>
          <w:color w:val="000000"/>
          <w:sz w:val="21"/>
          <w:szCs w:val="21"/>
          <w:highlight w:val="none"/>
        </w:rPr>
        <w:t>七、投标截止时间及地点</w:t>
      </w:r>
      <w:bookmarkEnd w:id="2"/>
    </w:p>
    <w:p w14:paraId="7387A91A">
      <w:pPr>
        <w:tabs>
          <w:tab w:val="left" w:pos="180"/>
          <w:tab w:val="left" w:pos="360"/>
          <w:tab w:val="left" w:pos="540"/>
          <w:tab w:val="left" w:pos="8280"/>
        </w:tabs>
        <w:autoSpaceDE w:val="0"/>
        <w:autoSpaceDN w:val="0"/>
        <w:adjustRightInd w:val="0"/>
        <w:spacing w:line="360" w:lineRule="auto"/>
        <w:ind w:firstLine="420" w:firstLineChars="200"/>
        <w:jc w:val="left"/>
        <w:rPr>
          <w:rStyle w:val="12"/>
          <w:rFonts w:hint="eastAsia" w:ascii="宋体" w:hAnsi="宋体" w:eastAsia="宋体" w:cs="宋体"/>
          <w:color w:val="000000"/>
          <w:kern w:val="0"/>
          <w:sz w:val="21"/>
          <w:szCs w:val="21"/>
          <w:highlight w:val="none"/>
        </w:rPr>
      </w:pPr>
      <w:r>
        <w:rPr>
          <w:rStyle w:val="12"/>
          <w:rFonts w:hint="eastAsia" w:ascii="宋体" w:hAnsi="宋体" w:eastAsia="宋体" w:cs="宋体"/>
          <w:color w:val="000000"/>
          <w:kern w:val="0"/>
          <w:sz w:val="21"/>
          <w:szCs w:val="21"/>
          <w:highlight w:val="none"/>
        </w:rPr>
        <w:t>提交投标文件截止时间：</w:t>
      </w:r>
      <w:r>
        <w:rPr>
          <w:rStyle w:val="12"/>
          <w:rFonts w:hint="eastAsia" w:ascii="宋体" w:hAnsi="宋体" w:cs="宋体"/>
          <w:color w:val="000000"/>
          <w:kern w:val="0"/>
          <w:sz w:val="21"/>
          <w:szCs w:val="21"/>
          <w:highlight w:val="none"/>
          <w:lang w:eastAsia="zh-CN"/>
        </w:rPr>
        <w:t>202</w:t>
      </w:r>
      <w:r>
        <w:rPr>
          <w:rStyle w:val="12"/>
          <w:rFonts w:hint="eastAsia" w:ascii="宋体" w:hAnsi="宋体" w:cs="宋体"/>
          <w:color w:val="000000"/>
          <w:kern w:val="0"/>
          <w:sz w:val="21"/>
          <w:szCs w:val="21"/>
          <w:highlight w:val="none"/>
          <w:lang w:val="en-US" w:eastAsia="zh-CN"/>
        </w:rPr>
        <w:t>6</w:t>
      </w:r>
      <w:r>
        <w:rPr>
          <w:rStyle w:val="12"/>
          <w:rFonts w:hint="eastAsia" w:ascii="宋体" w:hAnsi="宋体" w:cs="宋体"/>
          <w:color w:val="000000"/>
          <w:kern w:val="0"/>
          <w:sz w:val="21"/>
          <w:szCs w:val="21"/>
          <w:highlight w:val="none"/>
          <w:lang w:eastAsia="zh-CN"/>
        </w:rPr>
        <w:t>年</w:t>
      </w:r>
      <w:r>
        <w:rPr>
          <w:rStyle w:val="12"/>
          <w:rFonts w:hint="eastAsia" w:ascii="宋体" w:hAnsi="宋体" w:cs="宋体"/>
          <w:color w:val="000000"/>
          <w:kern w:val="0"/>
          <w:sz w:val="21"/>
          <w:szCs w:val="21"/>
          <w:highlight w:val="none"/>
          <w:lang w:val="en-US" w:eastAsia="zh-CN"/>
        </w:rPr>
        <w:t>06月01日</w:t>
      </w:r>
      <w:r>
        <w:rPr>
          <w:rStyle w:val="12"/>
          <w:rFonts w:hint="eastAsia" w:ascii="宋体" w:hAnsi="宋体" w:eastAsia="宋体" w:cs="宋体"/>
          <w:color w:val="000000"/>
          <w:kern w:val="0"/>
          <w:sz w:val="21"/>
          <w:szCs w:val="21"/>
          <w:highlight w:val="none"/>
        </w:rPr>
        <w:t>14时</w:t>
      </w:r>
      <w:r>
        <w:rPr>
          <w:rStyle w:val="12"/>
          <w:rFonts w:hint="eastAsia" w:ascii="宋体" w:hAnsi="宋体" w:eastAsia="宋体" w:cs="宋体"/>
          <w:color w:val="000000"/>
          <w:kern w:val="0"/>
          <w:sz w:val="21"/>
          <w:szCs w:val="21"/>
          <w:highlight w:val="none"/>
          <w:lang w:val="en-US" w:eastAsia="zh-CN"/>
        </w:rPr>
        <w:t>0</w:t>
      </w:r>
      <w:r>
        <w:rPr>
          <w:rStyle w:val="12"/>
          <w:rFonts w:hint="eastAsia" w:ascii="宋体" w:hAnsi="宋体" w:eastAsia="宋体" w:cs="宋体"/>
          <w:color w:val="000000"/>
          <w:kern w:val="0"/>
          <w:sz w:val="21"/>
          <w:szCs w:val="21"/>
          <w:highlight w:val="none"/>
        </w:rPr>
        <w:t>0分（北京时间）</w:t>
      </w:r>
    </w:p>
    <w:p w14:paraId="7FBC9DEE">
      <w:pPr>
        <w:tabs>
          <w:tab w:val="left" w:pos="180"/>
          <w:tab w:val="left" w:pos="360"/>
          <w:tab w:val="left" w:pos="540"/>
          <w:tab w:val="left" w:pos="8280"/>
        </w:tabs>
        <w:autoSpaceDE w:val="0"/>
        <w:autoSpaceDN w:val="0"/>
        <w:adjustRightInd w:val="0"/>
        <w:spacing w:line="360" w:lineRule="auto"/>
        <w:ind w:firstLine="420" w:firstLineChars="200"/>
        <w:jc w:val="left"/>
        <w:rPr>
          <w:rStyle w:val="12"/>
          <w:rFonts w:hint="eastAsia" w:ascii="宋体" w:hAnsi="宋体" w:eastAsia="宋体" w:cs="宋体"/>
          <w:color w:val="000000"/>
          <w:kern w:val="0"/>
          <w:sz w:val="21"/>
          <w:szCs w:val="21"/>
          <w:highlight w:val="none"/>
        </w:rPr>
      </w:pPr>
      <w:r>
        <w:rPr>
          <w:rStyle w:val="12"/>
          <w:rFonts w:hint="eastAsia" w:ascii="宋体" w:hAnsi="宋体" w:eastAsia="宋体" w:cs="宋体"/>
          <w:color w:val="000000"/>
          <w:kern w:val="0"/>
          <w:sz w:val="21"/>
          <w:szCs w:val="21"/>
          <w:highlight w:val="none"/>
        </w:rPr>
        <w:t>投标地点（网址））：</w:t>
      </w:r>
      <w:r>
        <w:rPr>
          <w:rStyle w:val="12"/>
          <w:rFonts w:hint="eastAsia" w:ascii="宋体" w:hAnsi="宋体" w:cs="宋体"/>
          <w:color w:val="000000"/>
          <w:kern w:val="0"/>
          <w:sz w:val="21"/>
          <w:szCs w:val="21"/>
          <w:highlight w:val="none"/>
          <w:lang w:eastAsia="zh-CN"/>
        </w:rPr>
        <w:t>浙江省公款竞争性存放网上招标</w:t>
      </w:r>
      <w:r>
        <w:rPr>
          <w:rStyle w:val="12"/>
          <w:rFonts w:hint="eastAsia" w:ascii="宋体" w:hAnsi="宋体" w:eastAsia="宋体" w:cs="宋体"/>
          <w:color w:val="000000"/>
          <w:kern w:val="0"/>
          <w:sz w:val="21"/>
          <w:szCs w:val="21"/>
          <w:highlight w:val="none"/>
        </w:rPr>
        <w:t xml:space="preserve">平台（https://gkcf-login.czt.zj.gov.cn/user-login/#/login） </w:t>
      </w:r>
    </w:p>
    <w:p w14:paraId="0C1C3DE6">
      <w:pPr>
        <w:snapToGrid w:val="0"/>
        <w:spacing w:line="480" w:lineRule="auto"/>
        <w:ind w:firstLine="422" w:firstLineChars="200"/>
        <w:outlineLvl w:val="9"/>
        <w:rPr>
          <w:rFonts w:hint="eastAsia" w:ascii="宋体" w:hAnsi="宋体" w:eastAsia="宋体" w:cs="宋体"/>
          <w:kern w:val="0"/>
          <w:sz w:val="21"/>
          <w:szCs w:val="21"/>
          <w:highlight w:val="none"/>
        </w:rPr>
      </w:pPr>
      <w:bookmarkStart w:id="3" w:name="_Toc8226"/>
      <w:r>
        <w:rPr>
          <w:rStyle w:val="12"/>
          <w:rFonts w:hint="eastAsia" w:ascii="宋体" w:hAnsi="宋体" w:eastAsia="宋体" w:cs="宋体"/>
          <w:b/>
          <w:color w:val="000000"/>
          <w:sz w:val="21"/>
          <w:szCs w:val="21"/>
          <w:highlight w:val="none"/>
        </w:rPr>
        <w:t>八、开标时间及地点</w:t>
      </w:r>
      <w:bookmarkEnd w:id="3"/>
      <w:r>
        <w:rPr>
          <w:rFonts w:hint="eastAsia" w:ascii="宋体" w:hAnsi="宋体" w:eastAsia="宋体" w:cs="宋体"/>
          <w:kern w:val="0"/>
          <w:sz w:val="21"/>
          <w:szCs w:val="21"/>
          <w:highlight w:val="none"/>
        </w:rPr>
        <w:t xml:space="preserve"> </w:t>
      </w:r>
    </w:p>
    <w:p w14:paraId="175530DB">
      <w:pPr>
        <w:snapToGrid w:val="0"/>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开标时间：</w:t>
      </w:r>
      <w:r>
        <w:rPr>
          <w:rStyle w:val="12"/>
          <w:rFonts w:hint="eastAsia" w:ascii="宋体" w:hAnsi="宋体" w:cs="宋体"/>
          <w:color w:val="000000"/>
          <w:kern w:val="0"/>
          <w:sz w:val="21"/>
          <w:szCs w:val="21"/>
          <w:highlight w:val="none"/>
          <w:lang w:eastAsia="zh-CN"/>
        </w:rPr>
        <w:t>202</w:t>
      </w:r>
      <w:r>
        <w:rPr>
          <w:rStyle w:val="12"/>
          <w:rFonts w:hint="eastAsia" w:ascii="宋体" w:hAnsi="宋体" w:cs="宋体"/>
          <w:color w:val="000000"/>
          <w:kern w:val="0"/>
          <w:sz w:val="21"/>
          <w:szCs w:val="21"/>
          <w:highlight w:val="none"/>
          <w:lang w:val="en-US" w:eastAsia="zh-CN"/>
        </w:rPr>
        <w:t>6</w:t>
      </w:r>
      <w:r>
        <w:rPr>
          <w:rStyle w:val="12"/>
          <w:rFonts w:hint="eastAsia" w:ascii="宋体" w:hAnsi="宋体" w:cs="宋体"/>
          <w:color w:val="000000"/>
          <w:kern w:val="0"/>
          <w:sz w:val="21"/>
          <w:szCs w:val="21"/>
          <w:highlight w:val="none"/>
          <w:lang w:eastAsia="zh-CN"/>
        </w:rPr>
        <w:t>年</w:t>
      </w:r>
      <w:r>
        <w:rPr>
          <w:rStyle w:val="12"/>
          <w:rFonts w:hint="eastAsia" w:ascii="宋体" w:hAnsi="宋体" w:cs="宋体"/>
          <w:color w:val="000000"/>
          <w:kern w:val="0"/>
          <w:sz w:val="21"/>
          <w:szCs w:val="21"/>
          <w:highlight w:val="none"/>
          <w:lang w:val="en-US" w:eastAsia="zh-CN"/>
        </w:rPr>
        <w:t>06月01日</w:t>
      </w:r>
      <w:r>
        <w:rPr>
          <w:rFonts w:hint="eastAsia" w:ascii="宋体" w:hAnsi="宋体" w:eastAsia="宋体" w:cs="宋体"/>
          <w:kern w:val="0"/>
          <w:sz w:val="21"/>
          <w:szCs w:val="21"/>
          <w:highlight w:val="none"/>
        </w:rPr>
        <w:t>14时</w:t>
      </w:r>
      <w:r>
        <w:rPr>
          <w:rFonts w:hint="eastAsia" w:ascii="宋体" w:hAnsi="宋体" w:eastAsia="宋体" w:cs="宋体"/>
          <w:kern w:val="0"/>
          <w:sz w:val="21"/>
          <w:szCs w:val="21"/>
          <w:highlight w:val="none"/>
          <w:lang w:val="en-US" w:eastAsia="zh-CN"/>
        </w:rPr>
        <w:t>0</w:t>
      </w:r>
      <w:r>
        <w:rPr>
          <w:rFonts w:hint="eastAsia" w:ascii="宋体" w:hAnsi="宋体" w:eastAsia="宋体" w:cs="宋体"/>
          <w:kern w:val="0"/>
          <w:sz w:val="21"/>
          <w:szCs w:val="21"/>
          <w:highlight w:val="none"/>
        </w:rPr>
        <w:t>0分（北京时间）；</w:t>
      </w:r>
    </w:p>
    <w:p w14:paraId="061DF5F7">
      <w:pPr>
        <w:spacing w:line="360" w:lineRule="auto"/>
        <w:ind w:firstLine="420"/>
        <w:rPr>
          <w:rFonts w:hint="eastAsia" w:ascii="宋体" w:hAnsi="宋体" w:eastAsia="宋体" w:cs="宋体"/>
          <w:b/>
          <w:bCs/>
          <w:color w:val="000000"/>
          <w:kern w:val="0"/>
          <w:sz w:val="21"/>
          <w:szCs w:val="21"/>
          <w:highlight w:val="none"/>
          <w:u w:val="single"/>
        </w:rPr>
      </w:pPr>
      <w:r>
        <w:rPr>
          <w:rFonts w:hint="eastAsia" w:ascii="宋体" w:hAnsi="宋体" w:eastAsia="宋体" w:cs="宋体"/>
          <w:kern w:val="0"/>
          <w:sz w:val="21"/>
          <w:szCs w:val="21"/>
          <w:highlight w:val="none"/>
        </w:rPr>
        <w:t>开标地点（网址）：</w:t>
      </w:r>
      <w:r>
        <w:rPr>
          <w:rFonts w:hint="eastAsia" w:ascii="宋体" w:hAnsi="宋体" w:eastAsia="宋体" w:cs="宋体"/>
          <w:kern w:val="0"/>
          <w:sz w:val="21"/>
          <w:szCs w:val="21"/>
          <w:highlight w:val="none"/>
          <w:lang w:eastAsia="zh-CN"/>
        </w:rPr>
        <w:t>常山县紫港街道富足山农村电子商务示范区二楼（迅鸿国际旁）</w:t>
      </w:r>
      <w:r>
        <w:rPr>
          <w:rFonts w:hint="eastAsia" w:ascii="宋体" w:hAnsi="宋体" w:eastAsia="宋体" w:cs="宋体"/>
          <w:kern w:val="0"/>
          <w:sz w:val="21"/>
          <w:szCs w:val="21"/>
          <w:highlight w:val="none"/>
        </w:rPr>
        <w:t>，同步在</w:t>
      </w:r>
      <w:r>
        <w:rPr>
          <w:rStyle w:val="12"/>
          <w:rFonts w:hint="eastAsia" w:ascii="宋体" w:hAnsi="宋体" w:cs="宋体"/>
          <w:color w:val="000000"/>
          <w:kern w:val="0"/>
          <w:sz w:val="21"/>
          <w:szCs w:val="21"/>
          <w:highlight w:val="none"/>
          <w:lang w:eastAsia="zh-CN"/>
        </w:rPr>
        <w:t>浙江省公款竞争性存放网上招标平台</w:t>
      </w:r>
      <w:r>
        <w:rPr>
          <w:rFonts w:hint="eastAsia" w:ascii="宋体" w:hAnsi="宋体" w:eastAsia="宋体" w:cs="宋体"/>
          <w:kern w:val="0"/>
          <w:sz w:val="21"/>
          <w:szCs w:val="21"/>
          <w:highlight w:val="none"/>
        </w:rPr>
        <w:t>（</w:t>
      </w:r>
      <w:r>
        <w:rPr>
          <w:rStyle w:val="12"/>
          <w:rFonts w:hint="eastAsia" w:ascii="宋体" w:hAnsi="宋体" w:eastAsia="宋体" w:cs="宋体"/>
          <w:color w:val="000000"/>
          <w:kern w:val="0"/>
          <w:sz w:val="21"/>
          <w:szCs w:val="21"/>
          <w:highlight w:val="none"/>
        </w:rPr>
        <w:t>https://gkcf-login.czt.zj.gov.cn/user-login/#/login</w:t>
      </w:r>
      <w:r>
        <w:rPr>
          <w:rFonts w:hint="eastAsia" w:ascii="宋体" w:hAnsi="宋体" w:eastAsia="宋体" w:cs="宋体"/>
          <w:kern w:val="0"/>
          <w:sz w:val="21"/>
          <w:szCs w:val="21"/>
          <w:highlight w:val="none"/>
        </w:rPr>
        <w:t>）上开启投标文件。</w:t>
      </w:r>
    </w:p>
    <w:p w14:paraId="0031FD6A">
      <w:pPr>
        <w:snapToGrid w:val="0"/>
        <w:spacing w:line="480" w:lineRule="auto"/>
        <w:ind w:firstLine="422" w:firstLineChars="200"/>
        <w:outlineLvl w:val="9"/>
        <w:rPr>
          <w:rStyle w:val="12"/>
          <w:rFonts w:hint="eastAsia" w:ascii="宋体" w:hAnsi="宋体" w:eastAsia="宋体" w:cs="宋体"/>
          <w:b/>
          <w:color w:val="000000"/>
          <w:kern w:val="0"/>
          <w:sz w:val="21"/>
          <w:szCs w:val="21"/>
          <w:highlight w:val="none"/>
        </w:rPr>
      </w:pPr>
      <w:bookmarkStart w:id="4" w:name="_Toc7656"/>
      <w:r>
        <w:rPr>
          <w:rStyle w:val="12"/>
          <w:rFonts w:hint="eastAsia" w:ascii="宋体" w:hAnsi="宋体" w:eastAsia="宋体" w:cs="宋体"/>
          <w:b/>
          <w:color w:val="000000"/>
          <w:sz w:val="21"/>
          <w:szCs w:val="21"/>
          <w:highlight w:val="none"/>
        </w:rPr>
        <w:t>九、</w:t>
      </w:r>
      <w:bookmarkEnd w:id="4"/>
      <w:bookmarkStart w:id="5" w:name="_Toc2533"/>
      <w:r>
        <w:rPr>
          <w:rStyle w:val="12"/>
          <w:rFonts w:hint="eastAsia" w:ascii="宋体" w:hAnsi="宋体" w:eastAsia="宋体" w:cs="宋体"/>
          <w:b/>
          <w:color w:val="000000"/>
          <w:kern w:val="0"/>
          <w:sz w:val="21"/>
          <w:szCs w:val="21"/>
          <w:highlight w:val="none"/>
        </w:rPr>
        <w:t xml:space="preserve"> 联系方式</w:t>
      </w:r>
      <w:bookmarkEnd w:id="5"/>
    </w:p>
    <w:p w14:paraId="73D25F54">
      <w:pPr>
        <w:bidi w:val="0"/>
        <w:rPr>
          <w:rFonts w:hint="eastAsia"/>
          <w:highlight w:val="none"/>
          <w:lang w:eastAsia="zh-CN"/>
        </w:rPr>
      </w:pPr>
      <w:r>
        <w:rPr>
          <w:rFonts w:hint="eastAsia"/>
          <w:highlight w:val="none"/>
        </w:rPr>
        <w:t>1．招标代理机构名称：</w:t>
      </w:r>
      <w:r>
        <w:rPr>
          <w:rFonts w:hint="eastAsia"/>
          <w:highlight w:val="none"/>
          <w:lang w:eastAsia="zh-CN"/>
        </w:rPr>
        <w:t>浙江九越建设管理有限公司</w:t>
      </w:r>
    </w:p>
    <w:p w14:paraId="5BD688D6">
      <w:pPr>
        <w:bidi w:val="0"/>
        <w:rPr>
          <w:rFonts w:hint="eastAsia"/>
          <w:highlight w:val="none"/>
          <w:lang w:eastAsia="zh-CN"/>
        </w:rPr>
      </w:pPr>
      <w:r>
        <w:rPr>
          <w:rFonts w:hint="eastAsia"/>
          <w:highlight w:val="none"/>
        </w:rPr>
        <w:t>联系人：</w:t>
      </w:r>
      <w:r>
        <w:rPr>
          <w:rFonts w:hint="eastAsia"/>
          <w:highlight w:val="none"/>
          <w:lang w:eastAsia="zh-CN"/>
        </w:rPr>
        <w:t>陈娇娇</w:t>
      </w:r>
    </w:p>
    <w:p w14:paraId="263EC5EB">
      <w:pPr>
        <w:bidi w:val="0"/>
        <w:rPr>
          <w:rFonts w:hint="eastAsia"/>
          <w:highlight w:val="none"/>
          <w:lang w:val="en-US" w:eastAsia="zh-CN"/>
        </w:rPr>
      </w:pPr>
      <w:r>
        <w:rPr>
          <w:rFonts w:hint="eastAsia"/>
          <w:highlight w:val="none"/>
          <w:lang w:eastAsia="zh-CN"/>
        </w:rPr>
        <w:t>联系电话：</w:t>
      </w:r>
      <w:r>
        <w:rPr>
          <w:rFonts w:hint="eastAsia"/>
          <w:highlight w:val="none"/>
          <w:lang w:val="en-US" w:eastAsia="zh-CN"/>
        </w:rPr>
        <w:t>0570-5662932</w:t>
      </w:r>
      <w:r>
        <w:rPr>
          <w:rFonts w:hint="eastAsia"/>
          <w:highlight w:val="none"/>
          <w:lang w:eastAsia="zh-CN"/>
        </w:rPr>
        <w:t>、</w:t>
      </w:r>
      <w:r>
        <w:rPr>
          <w:rFonts w:hint="eastAsia"/>
          <w:highlight w:val="none"/>
          <w:lang w:val="en-US" w:eastAsia="zh-CN"/>
        </w:rPr>
        <w:t>15257055966</w:t>
      </w:r>
    </w:p>
    <w:p w14:paraId="79E0FDAB">
      <w:pPr>
        <w:bidi w:val="0"/>
        <w:rPr>
          <w:rFonts w:hint="eastAsia"/>
          <w:highlight w:val="none"/>
        </w:rPr>
      </w:pPr>
      <w:r>
        <w:rPr>
          <w:rFonts w:hint="eastAsia"/>
          <w:highlight w:val="none"/>
        </w:rPr>
        <w:t>地址：常山县紫港街道富足山农村电子商务示范区二楼（迅鸿国际旁）</w:t>
      </w:r>
    </w:p>
    <w:p w14:paraId="651AD97C">
      <w:pPr>
        <w:bidi w:val="0"/>
        <w:rPr>
          <w:rFonts w:hint="eastAsia"/>
          <w:highlight w:val="none"/>
          <w:lang w:eastAsia="zh-CN"/>
        </w:rPr>
      </w:pPr>
      <w:r>
        <w:rPr>
          <w:rFonts w:hint="eastAsia"/>
          <w:highlight w:val="none"/>
        </w:rPr>
        <w:t>2.招标人名称：</w:t>
      </w:r>
      <w:r>
        <w:rPr>
          <w:rFonts w:hint="eastAsia"/>
          <w:highlight w:val="none"/>
          <w:lang w:eastAsia="zh-CN"/>
        </w:rPr>
        <w:t>衢州市住房公积金中心常山分中心</w:t>
      </w:r>
    </w:p>
    <w:p w14:paraId="59F695C6">
      <w:pPr>
        <w:bidi w:val="0"/>
        <w:rPr>
          <w:rFonts w:hint="default"/>
          <w:highlight w:val="none"/>
          <w:lang w:val="en-US" w:eastAsia="zh-CN"/>
        </w:rPr>
      </w:pPr>
      <w:r>
        <w:rPr>
          <w:rFonts w:hint="eastAsia"/>
          <w:highlight w:val="none"/>
        </w:rPr>
        <w:t>联系人：</w:t>
      </w:r>
      <w:r>
        <w:rPr>
          <w:rFonts w:hint="eastAsia"/>
          <w:highlight w:val="none"/>
          <w:lang w:val="en-US" w:eastAsia="zh-CN"/>
        </w:rPr>
        <w:t>詹泽宇</w:t>
      </w:r>
    </w:p>
    <w:p w14:paraId="7C90A1C1">
      <w:pPr>
        <w:bidi w:val="0"/>
        <w:rPr>
          <w:rFonts w:hint="eastAsia"/>
          <w:color w:val="0000FF"/>
          <w:highlight w:val="none"/>
        </w:rPr>
      </w:pPr>
      <w:r>
        <w:rPr>
          <w:rFonts w:hint="eastAsia"/>
          <w:highlight w:val="none"/>
        </w:rPr>
        <w:t>联系电话</w:t>
      </w:r>
      <w:r>
        <w:rPr>
          <w:rFonts w:hint="eastAsia"/>
          <w:highlight w:val="none"/>
          <w:lang w:eastAsia="zh-CN"/>
        </w:rPr>
        <w:t>：</w:t>
      </w:r>
      <w:r>
        <w:rPr>
          <w:rFonts w:hint="eastAsia"/>
          <w:highlight w:val="none"/>
          <w:lang w:val="en-US" w:eastAsia="zh-CN"/>
        </w:rPr>
        <w:t>0570-5027557</w:t>
      </w:r>
      <w:r>
        <w:rPr>
          <w:rFonts w:hint="eastAsia"/>
          <w:highlight w:val="none"/>
        </w:rPr>
        <w:t xml:space="preserve">    </w:t>
      </w:r>
    </w:p>
    <w:p w14:paraId="36B92552">
      <w:pPr>
        <w:bidi w:val="0"/>
        <w:rPr>
          <w:rFonts w:hint="eastAsia"/>
          <w:highlight w:val="none"/>
          <w:lang w:val="en-US" w:eastAsia="zh-CN"/>
        </w:rPr>
      </w:pPr>
      <w:r>
        <w:rPr>
          <w:rFonts w:hint="eastAsia"/>
          <w:highlight w:val="none"/>
          <w:lang w:val="en-US" w:eastAsia="zh-CN"/>
        </w:rPr>
        <w:t>地址：常山县紫港路2号行政服务中心二楼</w:t>
      </w:r>
    </w:p>
    <w:p w14:paraId="69ACC25A">
      <w:pPr>
        <w:keepNext w:val="0"/>
        <w:keepLines w:val="0"/>
        <w:pageBreakBefore w:val="0"/>
        <w:kinsoku/>
        <w:overflowPunct/>
        <w:topLinePunct w:val="0"/>
        <w:bidi w:val="0"/>
        <w:spacing w:line="312" w:lineRule="auto"/>
        <w:textAlignment w:val="auto"/>
      </w:pPr>
      <w:bookmarkStart w:id="6" w:name="_GoBack"/>
      <w:bookmarkEnd w:id="6"/>
    </w:p>
    <w:sectPr>
      <w:footerReference r:id="rId5" w:type="default"/>
      <w:pgSz w:w="11906" w:h="16838"/>
      <w:pgMar w:top="1440" w:right="1080" w:bottom="1440" w:left="108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F761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E5CBC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E5CBC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054F6"/>
    <w:multiLevelType w:val="multilevel"/>
    <w:tmpl w:val="074054F6"/>
    <w:lvl w:ilvl="0" w:tentative="0">
      <w:start w:val="1"/>
      <w:numFmt w:val="decimal"/>
      <w:pStyle w:val="13"/>
      <w:lvlText w:val="第%1章"/>
      <w:lvlJc w:val="left"/>
      <w:pPr>
        <w:tabs>
          <w:tab w:val="left" w:pos="432"/>
        </w:tabs>
        <w:ind w:left="2632" w:hanging="432"/>
      </w:pPr>
      <w:rPr>
        <w:rFonts w:hint="eastAsia"/>
      </w:rPr>
    </w:lvl>
    <w:lvl w:ilvl="1" w:tentative="0">
      <w:start w:val="1"/>
      <w:numFmt w:val="decimal"/>
      <w:lvlText w:val="%1.%2"/>
      <w:lvlJc w:val="left"/>
      <w:pPr>
        <w:tabs>
          <w:tab w:val="left" w:pos="576"/>
        </w:tabs>
        <w:ind w:left="2776" w:hanging="576"/>
      </w:pPr>
      <w:rPr>
        <w:rFonts w:hint="eastAsia"/>
      </w:rPr>
    </w:lvl>
    <w:lvl w:ilvl="2" w:tentative="0">
      <w:start w:val="1"/>
      <w:numFmt w:val="decimal"/>
      <w:lvlText w:val="%1.%2.%3"/>
      <w:lvlJc w:val="left"/>
      <w:pPr>
        <w:tabs>
          <w:tab w:val="left" w:pos="720"/>
        </w:tabs>
        <w:ind w:left="2920" w:hanging="720"/>
      </w:pPr>
      <w:rPr>
        <w:rFonts w:hint="eastAsia"/>
      </w:rPr>
    </w:lvl>
    <w:lvl w:ilvl="3" w:tentative="0">
      <w:start w:val="1"/>
      <w:numFmt w:val="decimal"/>
      <w:lvlText w:val="%1.%2.%3.%4"/>
      <w:lvlJc w:val="left"/>
      <w:pPr>
        <w:tabs>
          <w:tab w:val="left" w:pos="864"/>
        </w:tabs>
        <w:ind w:left="3064" w:hanging="864"/>
      </w:pPr>
      <w:rPr>
        <w:rFonts w:hint="eastAsia"/>
      </w:rPr>
    </w:lvl>
    <w:lvl w:ilvl="4" w:tentative="0">
      <w:start w:val="1"/>
      <w:numFmt w:val="decimal"/>
      <w:lvlText w:val="%1.%2.%3.%4.%5"/>
      <w:lvlJc w:val="left"/>
      <w:pPr>
        <w:tabs>
          <w:tab w:val="left" w:pos="1008"/>
        </w:tabs>
        <w:ind w:left="3208" w:hanging="1008"/>
      </w:pPr>
      <w:rPr>
        <w:rFonts w:hint="eastAsia"/>
      </w:rPr>
    </w:lvl>
    <w:lvl w:ilvl="5" w:tentative="0">
      <w:start w:val="1"/>
      <w:numFmt w:val="decimal"/>
      <w:lvlText w:val="%1.%2.%3.%4.%5.%6"/>
      <w:lvlJc w:val="left"/>
      <w:pPr>
        <w:tabs>
          <w:tab w:val="left" w:pos="1152"/>
        </w:tabs>
        <w:ind w:left="3352" w:hanging="1152"/>
      </w:pPr>
      <w:rPr>
        <w:rFonts w:hint="eastAsia"/>
      </w:rPr>
    </w:lvl>
    <w:lvl w:ilvl="6" w:tentative="0">
      <w:start w:val="1"/>
      <w:numFmt w:val="decimal"/>
      <w:lvlText w:val="%1.%2.%3.%4.%5.%6.%7"/>
      <w:lvlJc w:val="left"/>
      <w:pPr>
        <w:tabs>
          <w:tab w:val="left" w:pos="1296"/>
        </w:tabs>
        <w:ind w:left="3496" w:hanging="1296"/>
      </w:pPr>
      <w:rPr>
        <w:rFonts w:hint="eastAsia"/>
      </w:rPr>
    </w:lvl>
    <w:lvl w:ilvl="7" w:tentative="0">
      <w:start w:val="1"/>
      <w:numFmt w:val="decimal"/>
      <w:lvlText w:val="%1.%2.%3.%4.%5.%6.%7.%8"/>
      <w:lvlJc w:val="left"/>
      <w:pPr>
        <w:tabs>
          <w:tab w:val="left" w:pos="1440"/>
        </w:tabs>
        <w:ind w:left="3640" w:hanging="1440"/>
      </w:pPr>
      <w:rPr>
        <w:rFonts w:hint="eastAsia"/>
      </w:rPr>
    </w:lvl>
    <w:lvl w:ilvl="8" w:tentative="0">
      <w:start w:val="1"/>
      <w:numFmt w:val="decimal"/>
      <w:lvlText w:val="%1.%2.%3.%4.%5.%6.%7.%8.%9"/>
      <w:lvlJc w:val="left"/>
      <w:pPr>
        <w:tabs>
          <w:tab w:val="left" w:pos="1584"/>
        </w:tabs>
        <w:ind w:left="3784" w:hanging="1584"/>
      </w:pPr>
      <w:rPr>
        <w:rFonts w:hint="eastAsia"/>
      </w:rPr>
    </w:lvl>
  </w:abstractNum>
  <w:abstractNum w:abstractNumId="1">
    <w:nsid w:val="62B52969"/>
    <w:multiLevelType w:val="singleLevel"/>
    <w:tmpl w:val="62B52969"/>
    <w:lvl w:ilvl="0" w:tentative="0">
      <w:start w:val="1"/>
      <w:numFmt w:val="chineseCounting"/>
      <w:suff w:val="nothing"/>
      <w:lvlText w:val="%1、"/>
      <w:lvlJc w:val="left"/>
      <w:pPr>
        <w:ind w:left="-2"/>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3MWI4ZjVhOTE5ZTJhYjFhMTM4ZGZjMmIxNzgzM2QifQ=="/>
  </w:docVars>
  <w:rsids>
    <w:rsidRoot w:val="2EA40BD5"/>
    <w:rsid w:val="0FDB473D"/>
    <w:rsid w:val="132269EA"/>
    <w:rsid w:val="13A253E1"/>
    <w:rsid w:val="13FA3873"/>
    <w:rsid w:val="16D42A8A"/>
    <w:rsid w:val="1E706F22"/>
    <w:rsid w:val="1FF413ED"/>
    <w:rsid w:val="272B3524"/>
    <w:rsid w:val="2D185CB2"/>
    <w:rsid w:val="2EA40BD5"/>
    <w:rsid w:val="37C30912"/>
    <w:rsid w:val="3CE115DA"/>
    <w:rsid w:val="3E9C191B"/>
    <w:rsid w:val="429F7173"/>
    <w:rsid w:val="508E6327"/>
    <w:rsid w:val="51845FB0"/>
    <w:rsid w:val="58236BE4"/>
    <w:rsid w:val="59427B22"/>
    <w:rsid w:val="5DAB6523"/>
    <w:rsid w:val="673D7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602" w:firstLineChars="200"/>
      <w:jc w:val="left"/>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60" w:lineRule="auto"/>
      <w:ind w:firstLine="420"/>
      <w:jc w:val="left"/>
    </w:pPr>
    <w:rPr>
      <w:rFonts w:ascii="宋体"/>
      <w:color w:val="000000"/>
      <w:kern w:val="28"/>
    </w:rPr>
  </w:style>
  <w:style w:type="paragraph" w:styleId="3">
    <w:name w:val="Body Text"/>
    <w:basedOn w:val="1"/>
    <w:next w:val="1"/>
    <w:autoRedefine/>
    <w:qFormat/>
    <w:uiPriority w:val="0"/>
    <w:rPr>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2"/>
    <w:basedOn w:val="1"/>
    <w:next w:val="1"/>
    <w:autoRedefine/>
    <w:qFormat/>
    <w:uiPriority w:val="39"/>
    <w:pPr>
      <w:ind w:left="420" w:leftChars="200"/>
    </w:pPr>
  </w:style>
  <w:style w:type="paragraph" w:styleId="7">
    <w:name w:val="Normal (Web)"/>
    <w:basedOn w:val="1"/>
    <w:next w:val="6"/>
    <w:qFormat/>
    <w:uiPriority w:val="0"/>
    <w:pPr>
      <w:widowControl/>
      <w:spacing w:before="100" w:beforeLines="0" w:beforeAutospacing="1" w:after="100" w:afterLines="0" w:afterAutospacing="1"/>
      <w:jc w:val="left"/>
    </w:pPr>
    <w:rPr>
      <w:rFonts w:ascii="宋体" w:hAnsi="宋体"/>
      <w:kern w:val="0"/>
      <w:sz w:val="24"/>
    </w:rPr>
  </w:style>
  <w:style w:type="paragraph" w:styleId="8">
    <w:name w:val="Title"/>
    <w:basedOn w:val="1"/>
    <w:next w:val="1"/>
    <w:autoRedefine/>
    <w:qFormat/>
    <w:uiPriority w:val="99"/>
    <w:pPr>
      <w:jc w:val="center"/>
    </w:pPr>
    <w:rPr>
      <w:rFonts w:ascii="Arial" w:hAnsi="Arial"/>
      <w:b/>
      <w:kern w:val="0"/>
      <w:sz w:val="36"/>
      <w:szCs w:val="20"/>
      <w:lang w:eastAsia="en-US"/>
    </w:rPr>
  </w:style>
  <w:style w:type="paragraph" w:customStyle="1" w:styleId="11">
    <w:name w:val="表内文字"/>
    <w:basedOn w:val="1"/>
    <w:qFormat/>
    <w:uiPriority w:val="0"/>
    <w:pPr>
      <w:ind w:firstLine="0" w:firstLineChars="0"/>
      <w:jc w:val="left"/>
    </w:pPr>
    <w:rPr>
      <w:rFonts w:hint="eastAsia" w:ascii="Times New Roman" w:hAnsi="Times New Roman" w:eastAsia="宋体" w:cs="宋体"/>
      <w:sz w:val="21"/>
    </w:rPr>
  </w:style>
  <w:style w:type="character" w:customStyle="1" w:styleId="12">
    <w:name w:val="NormalCharacter"/>
    <w:semiHidden/>
    <w:qFormat/>
    <w:uiPriority w:val="0"/>
    <w:rPr>
      <w:kern w:val="2"/>
      <w:sz w:val="21"/>
      <w:szCs w:val="24"/>
      <w:lang w:val="en-US" w:eastAsia="zh-CN" w:bidi="ar-SA"/>
    </w:rPr>
  </w:style>
  <w:style w:type="paragraph" w:customStyle="1" w:styleId="13">
    <w:name w:val="Style1"/>
    <w:next w:val="14"/>
    <w:autoRedefine/>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14">
    <w:name w:val="*正文"/>
    <w:basedOn w:val="2"/>
    <w:autoRedefine/>
    <w:qFormat/>
    <w:uiPriority w:val="0"/>
    <w:pPr>
      <w:spacing w:line="480" w:lineRule="auto"/>
      <w:ind w:firstLine="200" w:firstLineChars="200"/>
    </w:pPr>
    <w:rPr>
      <w:rFonts w:ascii="Arial" w:hAnsi="Arial"/>
      <w:szCs w:val="24"/>
    </w:rPr>
  </w:style>
  <w:style w:type="paragraph" w:customStyle="1" w:styleId="15">
    <w:name w:val="章正文"/>
    <w:basedOn w:val="1"/>
    <w:autoRedefine/>
    <w:qFormat/>
    <w:uiPriority w:val="0"/>
    <w:pPr>
      <w:spacing w:before="156" w:beforeLines="50" w:after="120" w:afterLines="0" w:line="300" w:lineRule="auto"/>
      <w:ind w:firstLine="480"/>
    </w:pPr>
    <w:rPr>
      <w:rFonts w:ascii="Helvetica" w:hAnsi="Helvetica"/>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1602</Words>
  <Characters>1899</Characters>
  <Lines>0</Lines>
  <Paragraphs>0</Paragraphs>
  <TotalTime>0</TotalTime>
  <ScaleCrop>false</ScaleCrop>
  <LinksUpToDate>false</LinksUpToDate>
  <CharactersWithSpaces>1907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2023-04-18T08:27:00Z</dcterms:created>
  <dc:creator>杨洋</dc:creator>
  <cp:lastModifiedBy>Administrator</cp:lastModifiedBy>
  <dcterms:modified xsi:type="dcterms:W3CDTF">2026-05-21T09:26:05Z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5809A37840E94DE7B2416B56CCC04A5A_11</vt:lpwstr>
  </property>
  <property fmtid="{D5CDD505-2E9C-101B-9397-08002B2CF9AE}" pid="4" name="KSOTemplateDocerSaveRecord">
    <vt:lpwstr>eyJoZGlkIjoiMDZhZTQyYzE4ODdjZmFmMDE2MmUwNjI1YzlmMTQ3OGIiLCJ1c2VySWQiOiI2MTc4MDM2NzIifQ==</vt:lpwstr>
  </property>
</Properties>
</file>